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6F496" w14:textId="77777777" w:rsidR="004F04C2" w:rsidRDefault="004F04C2" w:rsidP="00BC37A3">
      <w:pPr>
        <w:tabs>
          <w:tab w:val="left" w:pos="756"/>
        </w:tabs>
        <w:jc w:val="center"/>
        <w:rPr>
          <w:rFonts w:asciiTheme="minorHAnsi" w:hAnsiTheme="minorHAnsi" w:cstheme="minorHAnsi"/>
          <w:b/>
          <w:sz w:val="22"/>
          <w:szCs w:val="22"/>
          <w:u w:val="single"/>
        </w:rPr>
      </w:pPr>
    </w:p>
    <w:p w14:paraId="4C7194E8" w14:textId="77777777" w:rsidR="004F04C2" w:rsidRDefault="004F04C2" w:rsidP="00BC37A3">
      <w:pPr>
        <w:tabs>
          <w:tab w:val="left" w:pos="756"/>
        </w:tabs>
        <w:jc w:val="center"/>
        <w:rPr>
          <w:rFonts w:asciiTheme="minorHAnsi" w:hAnsiTheme="minorHAnsi" w:cstheme="minorHAnsi"/>
          <w:b/>
          <w:sz w:val="22"/>
          <w:szCs w:val="22"/>
          <w:u w:val="single"/>
        </w:rPr>
      </w:pPr>
    </w:p>
    <w:p w14:paraId="36DAB03B" w14:textId="77777777" w:rsidR="004F04C2" w:rsidRDefault="004F04C2" w:rsidP="004F04C2">
      <w:pPr>
        <w:tabs>
          <w:tab w:val="left" w:pos="756"/>
        </w:tabs>
        <w:jc w:val="right"/>
        <w:rPr>
          <w:rFonts w:asciiTheme="minorHAnsi" w:hAnsiTheme="minorHAnsi" w:cstheme="minorHAnsi"/>
          <w:b/>
          <w:sz w:val="22"/>
          <w:szCs w:val="22"/>
          <w:u w:val="single"/>
        </w:rPr>
      </w:pPr>
      <w:r w:rsidRPr="00C92BF3">
        <w:rPr>
          <w:rFonts w:ascii="Calibri" w:hAnsi="Calibri" w:cs="Calibri"/>
          <w:sz w:val="20"/>
          <w:szCs w:val="20"/>
        </w:rPr>
        <w:t>Załącznik nr 1 do SWZ</w:t>
      </w:r>
    </w:p>
    <w:p w14:paraId="57C4969F" w14:textId="77777777" w:rsidR="004F04C2" w:rsidRDefault="004F04C2" w:rsidP="00BC37A3">
      <w:pPr>
        <w:tabs>
          <w:tab w:val="left" w:pos="756"/>
        </w:tabs>
        <w:jc w:val="center"/>
        <w:rPr>
          <w:rFonts w:asciiTheme="minorHAnsi" w:hAnsiTheme="minorHAnsi" w:cstheme="minorHAnsi"/>
          <w:b/>
          <w:sz w:val="22"/>
          <w:szCs w:val="22"/>
          <w:u w:val="single"/>
        </w:rPr>
      </w:pPr>
    </w:p>
    <w:p w14:paraId="5CD125AA" w14:textId="3C6A5ED3" w:rsidR="00BC37A3" w:rsidRPr="00744DE3" w:rsidRDefault="00BC37A3" w:rsidP="00BC37A3">
      <w:pPr>
        <w:tabs>
          <w:tab w:val="left" w:pos="756"/>
        </w:tabs>
        <w:jc w:val="center"/>
        <w:rPr>
          <w:rFonts w:asciiTheme="minorHAnsi" w:hAnsiTheme="minorHAnsi" w:cstheme="minorHAnsi"/>
          <w:sz w:val="22"/>
          <w:szCs w:val="22"/>
        </w:rPr>
      </w:pPr>
      <w:r w:rsidRPr="00744DE3">
        <w:rPr>
          <w:rFonts w:asciiTheme="minorHAnsi" w:hAnsiTheme="minorHAnsi" w:cstheme="minorHAnsi"/>
          <w:b/>
          <w:sz w:val="22"/>
          <w:szCs w:val="22"/>
          <w:u w:val="single"/>
        </w:rPr>
        <w:t>Szczegółowy opis przedmiotu zamówienia</w:t>
      </w:r>
    </w:p>
    <w:p w14:paraId="5E9EC1F9" w14:textId="77777777" w:rsidR="00BC37A3" w:rsidRPr="00744DE3" w:rsidRDefault="00BC37A3" w:rsidP="00BC37A3">
      <w:pPr>
        <w:tabs>
          <w:tab w:val="left" w:pos="756"/>
        </w:tabs>
        <w:jc w:val="center"/>
        <w:rPr>
          <w:rFonts w:asciiTheme="minorHAnsi" w:hAnsiTheme="minorHAnsi" w:cstheme="minorHAnsi"/>
          <w:sz w:val="22"/>
          <w:szCs w:val="22"/>
        </w:rPr>
      </w:pPr>
    </w:p>
    <w:p w14:paraId="0B8457C9" w14:textId="5E18212E" w:rsidR="00BC37A3" w:rsidRPr="00744DE3" w:rsidRDefault="00BC37A3" w:rsidP="00BC37A3">
      <w:pPr>
        <w:tabs>
          <w:tab w:val="left" w:pos="756"/>
        </w:tabs>
        <w:jc w:val="center"/>
        <w:rPr>
          <w:rFonts w:asciiTheme="minorHAnsi" w:hAnsiTheme="minorHAnsi" w:cstheme="minorHAnsi"/>
          <w:sz w:val="22"/>
          <w:szCs w:val="22"/>
        </w:rPr>
      </w:pPr>
      <w:r w:rsidRPr="00744DE3">
        <w:rPr>
          <w:rFonts w:asciiTheme="minorHAnsi" w:hAnsiTheme="minorHAnsi" w:cstheme="minorHAnsi"/>
          <w:b/>
          <w:sz w:val="22"/>
          <w:szCs w:val="22"/>
        </w:rPr>
        <w:t xml:space="preserve">PAKIET NR </w:t>
      </w:r>
      <w:r w:rsidR="00744DE3">
        <w:rPr>
          <w:rFonts w:asciiTheme="minorHAnsi" w:hAnsiTheme="minorHAnsi" w:cstheme="minorHAnsi"/>
          <w:b/>
          <w:sz w:val="22"/>
          <w:szCs w:val="22"/>
        </w:rPr>
        <w:t>1</w:t>
      </w:r>
    </w:p>
    <w:p w14:paraId="6F2863D4" w14:textId="77777777" w:rsidR="00BC37A3" w:rsidRPr="00744DE3" w:rsidRDefault="00BC37A3" w:rsidP="00BC37A3">
      <w:pPr>
        <w:tabs>
          <w:tab w:val="left" w:pos="756"/>
        </w:tabs>
        <w:jc w:val="center"/>
        <w:rPr>
          <w:rFonts w:asciiTheme="minorHAnsi" w:hAnsiTheme="minorHAnsi" w:cstheme="minorHAnsi"/>
          <w:b/>
          <w:sz w:val="22"/>
          <w:szCs w:val="22"/>
        </w:rPr>
      </w:pPr>
    </w:p>
    <w:p w14:paraId="7B8AA37D" w14:textId="77777777" w:rsidR="00BC37A3" w:rsidRPr="00744DE3" w:rsidRDefault="00BC37A3" w:rsidP="00BC37A3">
      <w:pPr>
        <w:tabs>
          <w:tab w:val="left" w:pos="756"/>
        </w:tabs>
        <w:jc w:val="center"/>
        <w:rPr>
          <w:rFonts w:asciiTheme="minorHAnsi" w:hAnsiTheme="minorHAnsi" w:cstheme="minorHAnsi"/>
          <w:b/>
          <w:sz w:val="22"/>
          <w:szCs w:val="22"/>
        </w:rPr>
      </w:pPr>
      <w:r w:rsidRPr="00744DE3">
        <w:rPr>
          <w:rFonts w:asciiTheme="minorHAnsi" w:hAnsiTheme="minorHAnsi" w:cstheme="minorHAnsi"/>
          <w:b/>
          <w:sz w:val="22"/>
          <w:szCs w:val="22"/>
        </w:rPr>
        <w:t>Przedmiot zamówienia:</w:t>
      </w:r>
    </w:p>
    <w:p w14:paraId="2E7C369B" w14:textId="77777777" w:rsidR="00E002A5" w:rsidRPr="00E002A5" w:rsidRDefault="00E002A5" w:rsidP="00E002A5">
      <w:pPr>
        <w:tabs>
          <w:tab w:val="left" w:pos="756"/>
        </w:tabs>
        <w:rPr>
          <w:rFonts w:ascii="Calibri" w:hAnsi="Calibri" w:cs="Calibri"/>
          <w:b/>
          <w:sz w:val="22"/>
          <w:szCs w:val="22"/>
        </w:rPr>
      </w:pPr>
    </w:p>
    <w:p w14:paraId="53072292" w14:textId="77777777" w:rsidR="00E002A5" w:rsidRPr="00E002A5" w:rsidRDefault="00E002A5" w:rsidP="00E002A5">
      <w:pPr>
        <w:tabs>
          <w:tab w:val="left" w:pos="756"/>
        </w:tabs>
        <w:jc w:val="center"/>
        <w:rPr>
          <w:rFonts w:ascii="Calibri" w:hAnsi="Calibri" w:cs="Calibri"/>
          <w:sz w:val="22"/>
          <w:szCs w:val="22"/>
        </w:rPr>
      </w:pPr>
      <w:r w:rsidRPr="00E002A5">
        <w:rPr>
          <w:rFonts w:ascii="Calibri" w:hAnsi="Calibri" w:cs="Calibri"/>
          <w:b/>
          <w:sz w:val="22"/>
          <w:szCs w:val="22"/>
        </w:rPr>
        <w:t>Kardiomonitor – 8 szt.</w:t>
      </w:r>
    </w:p>
    <w:p w14:paraId="53C62E47" w14:textId="77777777" w:rsidR="00E002A5" w:rsidRPr="00E002A5" w:rsidRDefault="00E002A5" w:rsidP="00E002A5">
      <w:pPr>
        <w:tabs>
          <w:tab w:val="left" w:pos="756"/>
        </w:tabs>
        <w:rPr>
          <w:rFonts w:ascii="Calibri" w:hAnsi="Calibri" w:cs="Calibri"/>
          <w:i/>
          <w:iCs/>
          <w:sz w:val="22"/>
          <w:szCs w:val="22"/>
        </w:rPr>
      </w:pPr>
    </w:p>
    <w:p w14:paraId="74EA4191" w14:textId="77777777" w:rsidR="00E002A5" w:rsidRPr="00E002A5" w:rsidRDefault="00E002A5" w:rsidP="00E002A5">
      <w:pPr>
        <w:tabs>
          <w:tab w:val="left" w:pos="756"/>
        </w:tabs>
        <w:rPr>
          <w:rFonts w:ascii="Calibri" w:hAnsi="Calibri" w:cs="Calibri"/>
          <w:sz w:val="22"/>
          <w:szCs w:val="22"/>
        </w:rPr>
      </w:pPr>
      <w:r w:rsidRPr="00E002A5">
        <w:rPr>
          <w:rFonts w:ascii="Calibri" w:hAnsi="Calibri" w:cs="Calibri"/>
          <w:sz w:val="22"/>
          <w:szCs w:val="22"/>
        </w:rPr>
        <w:t>Nazwa producenta:</w:t>
      </w:r>
      <w:r w:rsidRPr="00E002A5">
        <w:rPr>
          <w:rFonts w:ascii="Calibri" w:hAnsi="Calibri" w:cs="Calibri"/>
          <w:sz w:val="22"/>
          <w:szCs w:val="22"/>
        </w:rPr>
        <w:tab/>
      </w:r>
      <w:r w:rsidRPr="00E002A5">
        <w:rPr>
          <w:rFonts w:ascii="Calibri" w:hAnsi="Calibri" w:cs="Calibri"/>
          <w:sz w:val="22"/>
          <w:szCs w:val="22"/>
        </w:rPr>
        <w:tab/>
        <w:t>.......................................................</w:t>
      </w:r>
    </w:p>
    <w:p w14:paraId="59E24778" w14:textId="77777777" w:rsidR="00E002A5" w:rsidRPr="00E002A5" w:rsidRDefault="00E002A5" w:rsidP="00E002A5">
      <w:pPr>
        <w:tabs>
          <w:tab w:val="left" w:pos="756"/>
        </w:tabs>
        <w:rPr>
          <w:rFonts w:ascii="Calibri" w:hAnsi="Calibri" w:cs="Calibri"/>
          <w:sz w:val="22"/>
          <w:szCs w:val="22"/>
        </w:rPr>
      </w:pPr>
      <w:r w:rsidRPr="00E002A5">
        <w:rPr>
          <w:rFonts w:ascii="Calibri" w:hAnsi="Calibri" w:cs="Calibri"/>
          <w:sz w:val="22"/>
          <w:szCs w:val="22"/>
        </w:rPr>
        <w:t>Nazwa i typ:</w:t>
      </w:r>
      <w:r w:rsidRPr="00E002A5">
        <w:rPr>
          <w:rFonts w:ascii="Calibri" w:hAnsi="Calibri" w:cs="Calibri"/>
          <w:sz w:val="22"/>
          <w:szCs w:val="22"/>
        </w:rPr>
        <w:tab/>
        <w:t xml:space="preserve">         .......................................................</w:t>
      </w:r>
    </w:p>
    <w:p w14:paraId="58DCA0BB" w14:textId="77777777" w:rsidR="00E002A5" w:rsidRPr="00E002A5" w:rsidRDefault="00E002A5" w:rsidP="00E002A5">
      <w:pPr>
        <w:rPr>
          <w:rFonts w:ascii="Calibri" w:hAnsi="Calibri" w:cs="Calibri"/>
          <w:b/>
          <w:sz w:val="22"/>
          <w:szCs w:val="22"/>
        </w:rPr>
      </w:pPr>
    </w:p>
    <w:tbl>
      <w:tblPr>
        <w:tblW w:w="10437" w:type="dxa"/>
        <w:tblInd w:w="-365" w:type="dxa"/>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Layout w:type="fixed"/>
        <w:tblCellMar>
          <w:left w:w="61" w:type="dxa"/>
          <w:right w:w="61" w:type="dxa"/>
        </w:tblCellMar>
        <w:tblLook w:val="04A0" w:firstRow="1" w:lastRow="0" w:firstColumn="1" w:lastColumn="0" w:noHBand="0" w:noVBand="1"/>
      </w:tblPr>
      <w:tblGrid>
        <w:gridCol w:w="1070"/>
        <w:gridCol w:w="5383"/>
        <w:gridCol w:w="1984"/>
        <w:gridCol w:w="1992"/>
        <w:gridCol w:w="8"/>
      </w:tblGrid>
      <w:tr w:rsidR="00E002A5" w:rsidRPr="00E002A5" w14:paraId="03790B79"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vAlign w:val="center"/>
            <w:hideMark/>
          </w:tcPr>
          <w:p w14:paraId="230F137B" w14:textId="77777777" w:rsidR="00E002A5" w:rsidRPr="00E002A5" w:rsidRDefault="00E002A5" w:rsidP="003B2E29">
            <w:pPr>
              <w:rPr>
                <w:rFonts w:ascii="Calibri" w:hAnsi="Calibri" w:cs="Calibri"/>
                <w:b/>
                <w:sz w:val="22"/>
                <w:szCs w:val="22"/>
              </w:rPr>
            </w:pPr>
            <w:r w:rsidRPr="00E002A5">
              <w:rPr>
                <w:rFonts w:ascii="Calibri" w:eastAsia="SimSun" w:hAnsi="Calibri" w:cs="Calibri"/>
                <w:b/>
                <w:bCs/>
                <w:sz w:val="22"/>
                <w:szCs w:val="22"/>
              </w:rPr>
              <w:t>Lp.</w:t>
            </w:r>
          </w:p>
        </w:tc>
        <w:tc>
          <w:tcPr>
            <w:tcW w:w="5383" w:type="dxa"/>
            <w:tcBorders>
              <w:top w:val="single" w:sz="6" w:space="0" w:color="7F7F7F"/>
              <w:left w:val="single" w:sz="6" w:space="0" w:color="7F7F7F"/>
              <w:bottom w:val="single" w:sz="6" w:space="0" w:color="7F7F7F"/>
              <w:right w:val="single" w:sz="6" w:space="0" w:color="7F7F7F"/>
            </w:tcBorders>
            <w:vAlign w:val="center"/>
          </w:tcPr>
          <w:p w14:paraId="146B1E98" w14:textId="77777777" w:rsidR="00E002A5" w:rsidRPr="00E002A5" w:rsidRDefault="00E002A5" w:rsidP="003B2E29">
            <w:pPr>
              <w:rPr>
                <w:rFonts w:ascii="Calibri" w:hAnsi="Calibri" w:cs="Calibri"/>
                <w:b/>
                <w:sz w:val="22"/>
                <w:szCs w:val="22"/>
              </w:rPr>
            </w:pPr>
            <w:r w:rsidRPr="00E002A5">
              <w:rPr>
                <w:rFonts w:ascii="Calibri" w:eastAsia="SimSun" w:hAnsi="Calibri" w:cs="Calibri"/>
                <w:b/>
                <w:bCs/>
                <w:sz w:val="22"/>
                <w:szCs w:val="22"/>
              </w:rPr>
              <w:t>Parametr</w:t>
            </w:r>
          </w:p>
        </w:tc>
        <w:tc>
          <w:tcPr>
            <w:tcW w:w="1984" w:type="dxa"/>
            <w:tcBorders>
              <w:top w:val="single" w:sz="6" w:space="0" w:color="7F7F7F"/>
              <w:left w:val="single" w:sz="6" w:space="0" w:color="7F7F7F"/>
              <w:bottom w:val="single" w:sz="6" w:space="0" w:color="7F7F7F"/>
              <w:right w:val="single" w:sz="6" w:space="0" w:color="7F7F7F"/>
            </w:tcBorders>
            <w:vAlign w:val="center"/>
          </w:tcPr>
          <w:p w14:paraId="6C815694" w14:textId="75C629E2" w:rsidR="00E002A5" w:rsidRPr="00E002A5" w:rsidRDefault="00E002A5" w:rsidP="003B2E29">
            <w:pPr>
              <w:jc w:val="center"/>
              <w:rPr>
                <w:rFonts w:ascii="Calibri" w:hAnsi="Calibri" w:cs="Calibri"/>
                <w:b/>
                <w:sz w:val="22"/>
                <w:szCs w:val="22"/>
              </w:rPr>
            </w:pPr>
            <w:r w:rsidRPr="00E002A5">
              <w:rPr>
                <w:rFonts w:ascii="Calibri" w:hAnsi="Calibri" w:cs="Calibri"/>
                <w:b/>
                <w:sz w:val="22"/>
                <w:szCs w:val="22"/>
              </w:rPr>
              <w:t>Wymagany parametr (spełnienie wymagań) TAK</w:t>
            </w:r>
          </w:p>
        </w:tc>
        <w:tc>
          <w:tcPr>
            <w:tcW w:w="1992" w:type="dxa"/>
            <w:tcBorders>
              <w:top w:val="single" w:sz="6" w:space="0" w:color="7F7F7F"/>
              <w:left w:val="single" w:sz="6" w:space="0" w:color="7F7F7F"/>
              <w:bottom w:val="single" w:sz="6" w:space="0" w:color="7F7F7F"/>
              <w:right w:val="single" w:sz="6" w:space="0" w:color="7F7F7F"/>
            </w:tcBorders>
            <w:vAlign w:val="center"/>
          </w:tcPr>
          <w:p w14:paraId="38E34FCC" w14:textId="77777777" w:rsidR="00E002A5" w:rsidRPr="00E002A5" w:rsidRDefault="00E002A5" w:rsidP="003B2E29">
            <w:pPr>
              <w:widowControl w:val="0"/>
              <w:shd w:val="clear" w:color="auto" w:fill="FFFFFF"/>
              <w:jc w:val="center"/>
              <w:rPr>
                <w:rFonts w:ascii="Calibri" w:hAnsi="Calibri" w:cs="Calibri"/>
                <w:b/>
                <w:sz w:val="22"/>
                <w:szCs w:val="22"/>
              </w:rPr>
            </w:pPr>
            <w:r w:rsidRPr="00E002A5">
              <w:rPr>
                <w:rFonts w:ascii="Calibri" w:hAnsi="Calibri" w:cs="Calibri"/>
                <w:b/>
                <w:sz w:val="22"/>
                <w:szCs w:val="22"/>
              </w:rPr>
              <w:t>Parametry –potwierdzenie spełnienia wymogów</w:t>
            </w:r>
          </w:p>
        </w:tc>
      </w:tr>
      <w:tr w:rsidR="00E002A5" w:rsidRPr="00E002A5" w14:paraId="3B861C4C"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tcPr>
          <w:p w14:paraId="55B9C393" w14:textId="77777777" w:rsidR="00E002A5" w:rsidRPr="00E002A5" w:rsidRDefault="00E002A5" w:rsidP="00E002A5">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5290B518" w14:textId="77777777" w:rsidR="00E002A5" w:rsidRPr="00E002A5" w:rsidRDefault="00E002A5" w:rsidP="003B2E29">
            <w:pPr>
              <w:rPr>
                <w:rFonts w:ascii="Calibri" w:hAnsi="Calibri" w:cs="Calibri"/>
                <w:sz w:val="22"/>
                <w:szCs w:val="22"/>
              </w:rPr>
            </w:pPr>
            <w:r w:rsidRPr="00E002A5">
              <w:rPr>
                <w:rFonts w:ascii="Calibri" w:hAnsi="Calibri" w:cs="Calibri"/>
                <w:sz w:val="22"/>
                <w:szCs w:val="22"/>
              </w:rPr>
              <w:t>Monitor pacjenta o budowie modułowej. Poszczególne moduły pomiarowe przenoszone między monitorami bez udziału serwisu</w:t>
            </w:r>
          </w:p>
        </w:tc>
        <w:tc>
          <w:tcPr>
            <w:tcW w:w="1984" w:type="dxa"/>
            <w:tcBorders>
              <w:top w:val="single" w:sz="6" w:space="0" w:color="7F7F7F"/>
              <w:left w:val="single" w:sz="6" w:space="0" w:color="7F7F7F"/>
              <w:bottom w:val="single" w:sz="6" w:space="0" w:color="7F7F7F"/>
              <w:right w:val="single" w:sz="6" w:space="0" w:color="7F7F7F"/>
            </w:tcBorders>
          </w:tcPr>
          <w:p w14:paraId="1E0A5E0A" w14:textId="77777777" w:rsidR="006F3102" w:rsidRDefault="006F3102" w:rsidP="006F3102">
            <w:pPr>
              <w:jc w:val="center"/>
              <w:rPr>
                <w:rFonts w:ascii="Calibri" w:hAnsi="Calibri" w:cs="Calibri"/>
                <w:sz w:val="22"/>
                <w:szCs w:val="22"/>
              </w:rPr>
            </w:pPr>
          </w:p>
          <w:p w14:paraId="148039A1" w14:textId="5B27B9A9" w:rsidR="00E002A5" w:rsidRPr="00E002A5" w:rsidRDefault="006F3102" w:rsidP="006F3102">
            <w:pPr>
              <w:jc w:val="center"/>
              <w:rPr>
                <w:rFonts w:ascii="Calibri" w:hAnsi="Calibri" w:cs="Calibri"/>
                <w:sz w:val="22"/>
                <w:szCs w:val="22"/>
              </w:rPr>
            </w:pPr>
            <w:r>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162F9C26" w14:textId="77777777" w:rsidR="00E002A5" w:rsidRPr="00E002A5" w:rsidRDefault="00E002A5" w:rsidP="003B2E29">
            <w:pPr>
              <w:rPr>
                <w:rFonts w:ascii="Calibri" w:hAnsi="Calibri" w:cs="Calibri"/>
                <w:sz w:val="22"/>
                <w:szCs w:val="22"/>
              </w:rPr>
            </w:pPr>
          </w:p>
        </w:tc>
      </w:tr>
      <w:tr w:rsidR="006F3102" w:rsidRPr="00E002A5" w14:paraId="06D33FE9" w14:textId="77777777" w:rsidTr="006F3102">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22F855D2"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2C011456"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 xml:space="preserve">Zasilanie sieciowe dostosowane do 230V / 50 </w:t>
            </w:r>
            <w:proofErr w:type="spellStart"/>
            <w:r w:rsidRPr="00E002A5">
              <w:rPr>
                <w:rFonts w:ascii="Calibri" w:hAnsi="Calibri" w:cs="Calibri"/>
                <w:sz w:val="22"/>
                <w:szCs w:val="22"/>
              </w:rPr>
              <w:t>Hz</w:t>
            </w:r>
            <w:proofErr w:type="spellEnd"/>
            <w:r w:rsidRPr="00E002A5">
              <w:rPr>
                <w:rFonts w:ascii="Calibri" w:hAnsi="Calibri" w:cs="Calibri"/>
                <w:sz w:val="22"/>
                <w:szCs w:val="22"/>
              </w:rPr>
              <w:t>. Wewnętrzny akumulator, wymienialny przez użytkownika, pozwalający na minimum 120 minut pracy w konfiguracji EKG,NIBP,SpO2.</w:t>
            </w:r>
          </w:p>
        </w:tc>
        <w:tc>
          <w:tcPr>
            <w:tcW w:w="1984" w:type="dxa"/>
            <w:tcBorders>
              <w:top w:val="single" w:sz="6" w:space="0" w:color="7F7F7F"/>
              <w:left w:val="single" w:sz="6" w:space="0" w:color="7F7F7F"/>
              <w:bottom w:val="single" w:sz="6" w:space="0" w:color="7F7F7F"/>
              <w:right w:val="single" w:sz="6" w:space="0" w:color="7F7F7F"/>
            </w:tcBorders>
            <w:vAlign w:val="center"/>
          </w:tcPr>
          <w:p w14:paraId="4075DFD0" w14:textId="3867D4B0" w:rsidR="006F3102" w:rsidRPr="00E002A5" w:rsidRDefault="006F3102" w:rsidP="006F3102">
            <w:pPr>
              <w:jc w:val="center"/>
              <w:rPr>
                <w:rFonts w:ascii="Calibri" w:hAnsi="Calibri" w:cs="Calibri"/>
                <w:sz w:val="22"/>
                <w:szCs w:val="22"/>
              </w:rPr>
            </w:pPr>
            <w:r w:rsidRPr="00015B4B">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05180DBA" w14:textId="77777777" w:rsidR="006F3102" w:rsidRPr="00E002A5" w:rsidRDefault="006F3102" w:rsidP="006F3102">
            <w:pPr>
              <w:rPr>
                <w:rFonts w:ascii="Calibri" w:hAnsi="Calibri" w:cs="Calibri"/>
                <w:sz w:val="22"/>
                <w:szCs w:val="22"/>
              </w:rPr>
            </w:pPr>
          </w:p>
        </w:tc>
      </w:tr>
      <w:tr w:rsidR="006F3102" w:rsidRPr="00E002A5" w14:paraId="348A3F2A" w14:textId="77777777" w:rsidTr="006F3102">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71478EFB"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61451C02"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Monitor wyposażony w składany uchwyt do przenoszenia</w:t>
            </w:r>
          </w:p>
        </w:tc>
        <w:tc>
          <w:tcPr>
            <w:tcW w:w="1984" w:type="dxa"/>
            <w:tcBorders>
              <w:top w:val="single" w:sz="6" w:space="0" w:color="7F7F7F"/>
              <w:left w:val="single" w:sz="6" w:space="0" w:color="7F7F7F"/>
              <w:bottom w:val="single" w:sz="6" w:space="0" w:color="7F7F7F"/>
              <w:right w:val="single" w:sz="6" w:space="0" w:color="7F7F7F"/>
            </w:tcBorders>
            <w:vAlign w:val="center"/>
          </w:tcPr>
          <w:p w14:paraId="33505710" w14:textId="02573F47" w:rsidR="006F3102" w:rsidRPr="00E002A5" w:rsidRDefault="006F3102" w:rsidP="006F3102">
            <w:pPr>
              <w:jc w:val="center"/>
              <w:rPr>
                <w:rFonts w:ascii="Calibri" w:hAnsi="Calibri" w:cs="Calibri"/>
                <w:sz w:val="22"/>
                <w:szCs w:val="22"/>
              </w:rPr>
            </w:pPr>
            <w:r w:rsidRPr="00015B4B">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2C28CE97" w14:textId="77777777" w:rsidR="006F3102" w:rsidRPr="00E002A5" w:rsidRDefault="006F3102" w:rsidP="006F3102">
            <w:pPr>
              <w:rPr>
                <w:rFonts w:ascii="Calibri" w:hAnsi="Calibri" w:cs="Calibri"/>
                <w:sz w:val="22"/>
                <w:szCs w:val="22"/>
              </w:rPr>
            </w:pPr>
          </w:p>
        </w:tc>
      </w:tr>
      <w:tr w:rsidR="006F3102" w:rsidRPr="00E002A5" w14:paraId="722E39AF" w14:textId="77777777" w:rsidTr="006F3102">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36A5EC99"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16728838"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Wyposażenie z złącza wejścia/wyjścia:</w:t>
            </w:r>
          </w:p>
        </w:tc>
        <w:tc>
          <w:tcPr>
            <w:tcW w:w="1984" w:type="dxa"/>
            <w:tcBorders>
              <w:top w:val="single" w:sz="6" w:space="0" w:color="7F7F7F"/>
              <w:left w:val="single" w:sz="6" w:space="0" w:color="7F7F7F"/>
              <w:bottom w:val="single" w:sz="6" w:space="0" w:color="7F7F7F"/>
              <w:right w:val="single" w:sz="6" w:space="0" w:color="7F7F7F"/>
            </w:tcBorders>
            <w:vAlign w:val="center"/>
          </w:tcPr>
          <w:p w14:paraId="42E08FA1" w14:textId="68234A60" w:rsidR="006F3102" w:rsidRPr="00E002A5" w:rsidRDefault="006F3102" w:rsidP="006F3102">
            <w:pPr>
              <w:jc w:val="center"/>
              <w:rPr>
                <w:rFonts w:ascii="Calibri" w:hAnsi="Calibri" w:cs="Calibri"/>
                <w:sz w:val="22"/>
                <w:szCs w:val="22"/>
              </w:rPr>
            </w:pPr>
            <w:r w:rsidRPr="00015B4B">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3BF2F1AC" w14:textId="77777777" w:rsidR="006F3102" w:rsidRPr="00E002A5" w:rsidRDefault="006F3102" w:rsidP="006F3102">
            <w:pPr>
              <w:rPr>
                <w:rFonts w:ascii="Calibri" w:hAnsi="Calibri" w:cs="Calibri"/>
                <w:sz w:val="22"/>
                <w:szCs w:val="22"/>
              </w:rPr>
            </w:pPr>
          </w:p>
        </w:tc>
      </w:tr>
      <w:tr w:rsidR="006F3102" w:rsidRPr="00E002A5" w14:paraId="784AB87F" w14:textId="77777777" w:rsidTr="006F3102">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tcPr>
          <w:p w14:paraId="7267E57C" w14:textId="77777777" w:rsidR="006F3102" w:rsidRPr="00E002A5" w:rsidRDefault="006F3102" w:rsidP="006F3102">
            <w:pPr>
              <w:pStyle w:val="Akapitzlist"/>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16DBAA14"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 xml:space="preserve">- wyjście sygnału do podłączenia ekranu kopiującego, </w:t>
            </w:r>
          </w:p>
        </w:tc>
        <w:tc>
          <w:tcPr>
            <w:tcW w:w="1984" w:type="dxa"/>
            <w:tcBorders>
              <w:top w:val="single" w:sz="6" w:space="0" w:color="7F7F7F"/>
              <w:left w:val="single" w:sz="6" w:space="0" w:color="7F7F7F"/>
              <w:bottom w:val="single" w:sz="6" w:space="0" w:color="7F7F7F"/>
              <w:right w:val="single" w:sz="6" w:space="0" w:color="7F7F7F"/>
            </w:tcBorders>
            <w:vAlign w:val="center"/>
          </w:tcPr>
          <w:p w14:paraId="041887A1" w14:textId="2CE93EF0" w:rsidR="006F3102" w:rsidRPr="00E002A5" w:rsidRDefault="006F3102" w:rsidP="006F3102">
            <w:pPr>
              <w:jc w:val="center"/>
              <w:rPr>
                <w:rFonts w:ascii="Calibri" w:hAnsi="Calibri" w:cs="Calibri"/>
                <w:sz w:val="22"/>
                <w:szCs w:val="22"/>
              </w:rPr>
            </w:pPr>
            <w:r w:rsidRPr="00015B4B">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3C17CE1B" w14:textId="77777777" w:rsidR="006F3102" w:rsidRPr="00E002A5" w:rsidRDefault="006F3102" w:rsidP="006F3102">
            <w:pPr>
              <w:rPr>
                <w:rFonts w:ascii="Calibri" w:hAnsi="Calibri" w:cs="Calibri"/>
                <w:sz w:val="22"/>
                <w:szCs w:val="22"/>
              </w:rPr>
            </w:pPr>
          </w:p>
        </w:tc>
      </w:tr>
      <w:tr w:rsidR="006F3102" w:rsidRPr="00E002A5" w14:paraId="6C669BB0" w14:textId="77777777" w:rsidTr="006F3102">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tcPr>
          <w:p w14:paraId="6594E668" w14:textId="77777777" w:rsidR="006F3102" w:rsidRPr="00E002A5" w:rsidRDefault="006F3102" w:rsidP="006F3102">
            <w:pPr>
              <w:pStyle w:val="Akapitzlist"/>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1C5810CE"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 co najmniej 3 gniazda USB do podłączenia klawiatury, myszki komputerowej, skanera kodów paskowych,</w:t>
            </w:r>
          </w:p>
        </w:tc>
        <w:tc>
          <w:tcPr>
            <w:tcW w:w="1984" w:type="dxa"/>
            <w:tcBorders>
              <w:top w:val="single" w:sz="6" w:space="0" w:color="7F7F7F"/>
              <w:left w:val="single" w:sz="6" w:space="0" w:color="7F7F7F"/>
              <w:bottom w:val="single" w:sz="6" w:space="0" w:color="7F7F7F"/>
              <w:right w:val="single" w:sz="6" w:space="0" w:color="7F7F7F"/>
            </w:tcBorders>
            <w:vAlign w:val="center"/>
          </w:tcPr>
          <w:p w14:paraId="79896D53" w14:textId="0B20438C" w:rsidR="006F3102" w:rsidRPr="00E002A5" w:rsidRDefault="006F3102" w:rsidP="006F3102">
            <w:pPr>
              <w:jc w:val="center"/>
              <w:rPr>
                <w:rFonts w:ascii="Calibri" w:hAnsi="Calibri" w:cs="Calibri"/>
                <w:sz w:val="22"/>
                <w:szCs w:val="22"/>
              </w:rPr>
            </w:pPr>
            <w:r w:rsidRPr="00015B4B">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2833F5BA" w14:textId="77777777" w:rsidR="006F3102" w:rsidRPr="00E002A5" w:rsidRDefault="006F3102" w:rsidP="006F3102">
            <w:pPr>
              <w:rPr>
                <w:rFonts w:ascii="Calibri" w:hAnsi="Calibri" w:cs="Calibri"/>
                <w:sz w:val="22"/>
                <w:szCs w:val="22"/>
              </w:rPr>
            </w:pPr>
          </w:p>
        </w:tc>
      </w:tr>
      <w:tr w:rsidR="006F3102" w:rsidRPr="00E002A5" w14:paraId="11F27CA6" w14:textId="77777777" w:rsidTr="006F3102">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tcPr>
          <w:p w14:paraId="376F94D7" w14:textId="77777777" w:rsidR="006F3102" w:rsidRPr="00E002A5" w:rsidRDefault="006F3102" w:rsidP="006F3102">
            <w:pPr>
              <w:pStyle w:val="Akapitzlist"/>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4EADD725"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 gniazdo RJ-45 do połączenia z siecią monitorowania.</w:t>
            </w:r>
          </w:p>
        </w:tc>
        <w:tc>
          <w:tcPr>
            <w:tcW w:w="1984" w:type="dxa"/>
            <w:tcBorders>
              <w:top w:val="single" w:sz="6" w:space="0" w:color="7F7F7F"/>
              <w:left w:val="single" w:sz="6" w:space="0" w:color="7F7F7F"/>
              <w:bottom w:val="single" w:sz="6" w:space="0" w:color="7F7F7F"/>
              <w:right w:val="single" w:sz="6" w:space="0" w:color="7F7F7F"/>
            </w:tcBorders>
            <w:vAlign w:val="center"/>
          </w:tcPr>
          <w:p w14:paraId="7E237483" w14:textId="6FCC1AD6" w:rsidR="006F3102" w:rsidRPr="00E002A5" w:rsidRDefault="006F3102" w:rsidP="006F3102">
            <w:pPr>
              <w:jc w:val="center"/>
              <w:rPr>
                <w:rFonts w:ascii="Calibri" w:hAnsi="Calibri" w:cs="Calibri"/>
                <w:sz w:val="22"/>
                <w:szCs w:val="22"/>
              </w:rPr>
            </w:pPr>
            <w:r w:rsidRPr="00015B4B">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3139D022" w14:textId="77777777" w:rsidR="006F3102" w:rsidRPr="00E002A5" w:rsidRDefault="006F3102" w:rsidP="006F3102">
            <w:pPr>
              <w:rPr>
                <w:rFonts w:ascii="Calibri" w:hAnsi="Calibri" w:cs="Calibri"/>
                <w:sz w:val="22"/>
                <w:szCs w:val="22"/>
              </w:rPr>
            </w:pPr>
          </w:p>
        </w:tc>
      </w:tr>
      <w:tr w:rsidR="006F3102" w:rsidRPr="00E002A5" w14:paraId="231435F5" w14:textId="77777777" w:rsidTr="006F3102">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1EA4AD0C"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2E8F5670"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Możliwość rozbudowy monitora o pomiary:</w:t>
            </w:r>
          </w:p>
          <w:p w14:paraId="4BF3DF8D"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 stopnia uśpienia BIS,</w:t>
            </w:r>
          </w:p>
          <w:p w14:paraId="65D40E65"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 EEG/</w:t>
            </w:r>
            <w:proofErr w:type="spellStart"/>
            <w:r w:rsidRPr="00E002A5">
              <w:rPr>
                <w:rFonts w:ascii="Calibri" w:hAnsi="Calibri" w:cs="Calibri"/>
                <w:sz w:val="22"/>
                <w:szCs w:val="22"/>
              </w:rPr>
              <w:t>aEEG</w:t>
            </w:r>
            <w:proofErr w:type="spellEnd"/>
            <w:r w:rsidRPr="00E002A5">
              <w:rPr>
                <w:rFonts w:ascii="Calibri" w:hAnsi="Calibri" w:cs="Calibri"/>
                <w:sz w:val="22"/>
                <w:szCs w:val="22"/>
              </w:rPr>
              <w:t>,</w:t>
            </w:r>
          </w:p>
          <w:p w14:paraId="1339214B"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 nieinwazyjnego rzutu minutowego metodą impedancji kardiograficznej,</w:t>
            </w:r>
          </w:p>
          <w:p w14:paraId="11BF039B"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 inwazyjnego pomiaru rzutu serca metodą Swan-</w:t>
            </w:r>
            <w:proofErr w:type="spellStart"/>
            <w:r w:rsidRPr="00E002A5">
              <w:rPr>
                <w:rFonts w:ascii="Calibri" w:hAnsi="Calibri" w:cs="Calibri"/>
                <w:sz w:val="22"/>
                <w:szCs w:val="22"/>
              </w:rPr>
              <w:t>Ganza</w:t>
            </w:r>
            <w:proofErr w:type="spellEnd"/>
            <w:r w:rsidRPr="00E002A5">
              <w:rPr>
                <w:rFonts w:ascii="Calibri" w:hAnsi="Calibri" w:cs="Calibri"/>
                <w:sz w:val="22"/>
                <w:szCs w:val="22"/>
              </w:rPr>
              <w:t>,</w:t>
            </w:r>
          </w:p>
          <w:p w14:paraId="67F9FE1D"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 przewodnictwa nerwowo-mięśniowego NMT,</w:t>
            </w:r>
          </w:p>
          <w:p w14:paraId="7C969033"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 oksymetrii tkankowej.</w:t>
            </w:r>
          </w:p>
        </w:tc>
        <w:tc>
          <w:tcPr>
            <w:tcW w:w="1984" w:type="dxa"/>
            <w:tcBorders>
              <w:top w:val="single" w:sz="6" w:space="0" w:color="7F7F7F"/>
              <w:left w:val="single" w:sz="6" w:space="0" w:color="7F7F7F"/>
              <w:bottom w:val="single" w:sz="6" w:space="0" w:color="7F7F7F"/>
              <w:right w:val="single" w:sz="6" w:space="0" w:color="7F7F7F"/>
            </w:tcBorders>
            <w:vAlign w:val="center"/>
          </w:tcPr>
          <w:p w14:paraId="3726E36C" w14:textId="042E80CD" w:rsidR="006F3102" w:rsidRPr="00E002A5" w:rsidRDefault="006F3102" w:rsidP="006F3102">
            <w:pPr>
              <w:jc w:val="center"/>
              <w:rPr>
                <w:rFonts w:ascii="Calibri" w:hAnsi="Calibri" w:cs="Calibri"/>
                <w:sz w:val="22"/>
                <w:szCs w:val="22"/>
              </w:rPr>
            </w:pPr>
            <w:r w:rsidRPr="00015B4B">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69EF797A" w14:textId="77777777" w:rsidR="006F3102" w:rsidRPr="00E002A5" w:rsidRDefault="006F3102" w:rsidP="006F3102">
            <w:pPr>
              <w:rPr>
                <w:rFonts w:ascii="Calibri" w:hAnsi="Calibri" w:cs="Calibri"/>
                <w:sz w:val="22"/>
                <w:szCs w:val="22"/>
              </w:rPr>
            </w:pPr>
          </w:p>
        </w:tc>
      </w:tr>
      <w:tr w:rsidR="006F3102" w:rsidRPr="00E002A5" w14:paraId="7B02EC81" w14:textId="77777777" w:rsidTr="006F3102">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5966BC6A"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55570220"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Stopień ochrony przed groźnym zalaniem wodą co najmniej IPX1</w:t>
            </w:r>
          </w:p>
        </w:tc>
        <w:tc>
          <w:tcPr>
            <w:tcW w:w="1984" w:type="dxa"/>
            <w:tcBorders>
              <w:top w:val="single" w:sz="6" w:space="0" w:color="7F7F7F"/>
              <w:left w:val="single" w:sz="6" w:space="0" w:color="7F7F7F"/>
              <w:bottom w:val="single" w:sz="6" w:space="0" w:color="7F7F7F"/>
              <w:right w:val="single" w:sz="6" w:space="0" w:color="7F7F7F"/>
            </w:tcBorders>
            <w:vAlign w:val="center"/>
          </w:tcPr>
          <w:p w14:paraId="05F97ABE" w14:textId="070FF219" w:rsidR="006F3102" w:rsidRPr="00E002A5" w:rsidRDefault="006F3102" w:rsidP="006F3102">
            <w:pPr>
              <w:jc w:val="center"/>
              <w:rPr>
                <w:rFonts w:ascii="Calibri" w:hAnsi="Calibri" w:cs="Calibri"/>
                <w:sz w:val="22"/>
                <w:szCs w:val="22"/>
              </w:rPr>
            </w:pPr>
            <w:r w:rsidRPr="00015B4B">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4EE67AD4" w14:textId="77777777" w:rsidR="006F3102" w:rsidRPr="00E002A5" w:rsidRDefault="006F3102" w:rsidP="006F3102">
            <w:pPr>
              <w:rPr>
                <w:rFonts w:ascii="Calibri" w:hAnsi="Calibri" w:cs="Calibri"/>
                <w:sz w:val="22"/>
                <w:szCs w:val="22"/>
              </w:rPr>
            </w:pPr>
          </w:p>
        </w:tc>
      </w:tr>
      <w:tr w:rsidR="00E002A5" w:rsidRPr="00E002A5" w14:paraId="129DDC1F"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3A381ABB" w14:textId="77777777" w:rsidR="00E002A5" w:rsidRPr="00E002A5" w:rsidRDefault="00E002A5" w:rsidP="003B2E29">
            <w:pPr>
              <w:pStyle w:val="Akapitzlist"/>
              <w:rPr>
                <w:rFonts w:ascii="Calibri" w:hAnsi="Calibri" w:cs="Calibri"/>
                <w:sz w:val="22"/>
                <w:szCs w:val="22"/>
              </w:rPr>
            </w:pPr>
          </w:p>
        </w:tc>
        <w:tc>
          <w:tcPr>
            <w:tcW w:w="9359" w:type="dxa"/>
            <w:gridSpan w:val="3"/>
            <w:tcBorders>
              <w:top w:val="single" w:sz="6" w:space="0" w:color="7F7F7F"/>
              <w:left w:val="single" w:sz="6" w:space="0" w:color="7F7F7F"/>
              <w:bottom w:val="single" w:sz="6" w:space="0" w:color="7F7F7F"/>
              <w:right w:val="single" w:sz="6" w:space="0" w:color="7F7F7F"/>
            </w:tcBorders>
          </w:tcPr>
          <w:p w14:paraId="15665A2B" w14:textId="77777777" w:rsidR="00E002A5" w:rsidRPr="00E002A5" w:rsidRDefault="00E002A5" w:rsidP="003B2E29">
            <w:pPr>
              <w:rPr>
                <w:rFonts w:ascii="Calibri" w:hAnsi="Calibri" w:cs="Calibri"/>
                <w:sz w:val="22"/>
                <w:szCs w:val="22"/>
              </w:rPr>
            </w:pPr>
            <w:r w:rsidRPr="00E002A5">
              <w:rPr>
                <w:rFonts w:ascii="Calibri" w:hAnsi="Calibri" w:cs="Calibri"/>
                <w:b/>
                <w:sz w:val="22"/>
                <w:szCs w:val="22"/>
              </w:rPr>
              <w:t>EKRAN / OBSŁUGA</w:t>
            </w:r>
          </w:p>
        </w:tc>
      </w:tr>
      <w:tr w:rsidR="00E002A5" w:rsidRPr="00E002A5" w14:paraId="0233F5E3"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4D124317" w14:textId="77777777" w:rsidR="00E002A5" w:rsidRPr="00E002A5" w:rsidRDefault="00E002A5" w:rsidP="00E002A5">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50A49B2D" w14:textId="77777777" w:rsidR="00E002A5" w:rsidRPr="00E002A5" w:rsidRDefault="00E002A5" w:rsidP="003B2E29">
            <w:pPr>
              <w:rPr>
                <w:rFonts w:ascii="Calibri" w:hAnsi="Calibri" w:cs="Calibri"/>
                <w:sz w:val="22"/>
                <w:szCs w:val="22"/>
              </w:rPr>
            </w:pPr>
            <w:r w:rsidRPr="00E002A5">
              <w:rPr>
                <w:rFonts w:ascii="Calibri" w:hAnsi="Calibri" w:cs="Calibri"/>
                <w:sz w:val="22"/>
                <w:szCs w:val="22"/>
              </w:rPr>
              <w:t>Kolorowy pojedynczy, pojemnościowy ekran dotykowy w postaci płaskiego panelu LCD TFT o przekątnej minimum 18.5", rozdzielczości co najmniej 1920x1080 pikseli i dużym kącie widzenia (powyżej 170</w:t>
            </w:r>
            <w:r w:rsidRPr="00E002A5">
              <w:rPr>
                <w:rFonts w:ascii="Calibri" w:hAnsi="Calibri" w:cs="Calibri"/>
                <w:sz w:val="22"/>
                <w:szCs w:val="22"/>
                <w:vertAlign w:val="superscript"/>
              </w:rPr>
              <w:t>o</w:t>
            </w:r>
            <w:r w:rsidRPr="00E002A5">
              <w:rPr>
                <w:rFonts w:ascii="Calibri" w:hAnsi="Calibri" w:cs="Calibri"/>
                <w:sz w:val="22"/>
                <w:szCs w:val="22"/>
              </w:rPr>
              <w:t xml:space="preserve">). Min. 12 krzywych dynamicznych wyświetlanych jednocześnie na ekranie. Miejsca na moduły pomiarowe w jednej obudowie z ekranem.  </w:t>
            </w:r>
          </w:p>
        </w:tc>
        <w:tc>
          <w:tcPr>
            <w:tcW w:w="1984" w:type="dxa"/>
            <w:tcBorders>
              <w:top w:val="single" w:sz="6" w:space="0" w:color="7F7F7F"/>
              <w:left w:val="single" w:sz="6" w:space="0" w:color="7F7F7F"/>
              <w:bottom w:val="single" w:sz="6" w:space="0" w:color="7F7F7F"/>
              <w:right w:val="single" w:sz="6" w:space="0" w:color="7F7F7F"/>
            </w:tcBorders>
          </w:tcPr>
          <w:p w14:paraId="55E1F4AC" w14:textId="3393874B" w:rsidR="00E002A5" w:rsidRPr="00E002A5" w:rsidRDefault="006F3102" w:rsidP="006F3102">
            <w:pPr>
              <w:jc w:val="center"/>
              <w:rPr>
                <w:rFonts w:ascii="Calibri" w:hAnsi="Calibri" w:cs="Calibri"/>
                <w:sz w:val="22"/>
                <w:szCs w:val="22"/>
              </w:rPr>
            </w:pPr>
            <w:r>
              <w:rPr>
                <w:rFonts w:ascii="Calibri" w:hAnsi="Calibri" w:cs="Calibri"/>
                <w:sz w:val="22"/>
                <w:szCs w:val="22"/>
              </w:rPr>
              <w:t>TAK, PODAĆ</w:t>
            </w:r>
          </w:p>
        </w:tc>
        <w:tc>
          <w:tcPr>
            <w:tcW w:w="1992" w:type="dxa"/>
            <w:tcBorders>
              <w:top w:val="single" w:sz="6" w:space="0" w:color="7F7F7F"/>
              <w:left w:val="single" w:sz="6" w:space="0" w:color="7F7F7F"/>
              <w:bottom w:val="single" w:sz="6" w:space="0" w:color="7F7F7F"/>
              <w:right w:val="single" w:sz="6" w:space="0" w:color="7F7F7F"/>
            </w:tcBorders>
          </w:tcPr>
          <w:p w14:paraId="587456D4" w14:textId="77777777" w:rsidR="00E002A5" w:rsidRPr="00E002A5" w:rsidRDefault="00E002A5" w:rsidP="003B2E29">
            <w:pPr>
              <w:rPr>
                <w:rFonts w:ascii="Calibri" w:hAnsi="Calibri" w:cs="Calibri"/>
                <w:sz w:val="22"/>
                <w:szCs w:val="22"/>
              </w:rPr>
            </w:pPr>
          </w:p>
        </w:tc>
      </w:tr>
      <w:tr w:rsidR="006F3102" w:rsidRPr="00E002A5" w14:paraId="694686EF"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1E6CA40A"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r w:rsidRPr="00E002A5">
              <w:rPr>
                <w:rFonts w:ascii="Calibri" w:hAnsi="Calibri" w:cs="Calibri"/>
                <w:sz w:val="22"/>
                <w:szCs w:val="22"/>
              </w:rPr>
              <w:lastRenderedPageBreak/>
              <w:t xml:space="preserve"> </w:t>
            </w:r>
          </w:p>
        </w:tc>
        <w:tc>
          <w:tcPr>
            <w:tcW w:w="5383" w:type="dxa"/>
            <w:tcBorders>
              <w:top w:val="single" w:sz="6" w:space="0" w:color="7F7F7F"/>
              <w:left w:val="single" w:sz="6" w:space="0" w:color="7F7F7F"/>
              <w:bottom w:val="single" w:sz="6" w:space="0" w:color="7F7F7F"/>
              <w:right w:val="single" w:sz="6" w:space="0" w:color="7F7F7F"/>
            </w:tcBorders>
            <w:hideMark/>
          </w:tcPr>
          <w:p w14:paraId="48DDCB4F"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 xml:space="preserve">Funkcja automatycznego </w:t>
            </w:r>
            <w:proofErr w:type="gramStart"/>
            <w:r w:rsidRPr="00E002A5">
              <w:rPr>
                <w:rFonts w:ascii="Calibri" w:hAnsi="Calibri" w:cs="Calibri"/>
                <w:sz w:val="22"/>
                <w:szCs w:val="22"/>
              </w:rPr>
              <w:t>dostosowania  jasności</w:t>
            </w:r>
            <w:proofErr w:type="gramEnd"/>
            <w:r w:rsidRPr="00E002A5">
              <w:rPr>
                <w:rFonts w:ascii="Calibri" w:hAnsi="Calibri" w:cs="Calibri"/>
                <w:sz w:val="22"/>
                <w:szCs w:val="22"/>
              </w:rPr>
              <w:t xml:space="preserve"> ekranu do natężenia światła otoczenia </w:t>
            </w:r>
          </w:p>
        </w:tc>
        <w:tc>
          <w:tcPr>
            <w:tcW w:w="1984" w:type="dxa"/>
            <w:tcBorders>
              <w:top w:val="single" w:sz="6" w:space="0" w:color="7F7F7F"/>
              <w:left w:val="single" w:sz="6" w:space="0" w:color="7F7F7F"/>
              <w:bottom w:val="single" w:sz="6" w:space="0" w:color="7F7F7F"/>
              <w:right w:val="single" w:sz="6" w:space="0" w:color="7F7F7F"/>
            </w:tcBorders>
          </w:tcPr>
          <w:p w14:paraId="7FCD5E9A" w14:textId="7B78C8E6" w:rsidR="006F3102" w:rsidRPr="00E002A5" w:rsidRDefault="006F3102" w:rsidP="006F3102">
            <w:pPr>
              <w:jc w:val="center"/>
              <w:rPr>
                <w:rFonts w:ascii="Calibri" w:hAnsi="Calibri" w:cs="Calibri"/>
                <w:sz w:val="22"/>
                <w:szCs w:val="22"/>
              </w:rPr>
            </w:pPr>
            <w:r w:rsidRPr="00B17929">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04B33009" w14:textId="77777777" w:rsidR="006F3102" w:rsidRPr="00E002A5" w:rsidRDefault="006F3102" w:rsidP="006F3102">
            <w:pPr>
              <w:rPr>
                <w:rFonts w:ascii="Calibri" w:hAnsi="Calibri" w:cs="Calibri"/>
                <w:sz w:val="22"/>
                <w:szCs w:val="22"/>
              </w:rPr>
            </w:pPr>
          </w:p>
        </w:tc>
      </w:tr>
      <w:tr w:rsidR="006F3102" w:rsidRPr="00E002A5" w14:paraId="565F412E"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51B36B78"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6B2EC2F7"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Obsługa wielodotykowa za pomocą gestów przeciągania. Możliwość rozbudowy o obsługę przy pomocy pilota,</w:t>
            </w:r>
          </w:p>
        </w:tc>
        <w:tc>
          <w:tcPr>
            <w:tcW w:w="1984" w:type="dxa"/>
            <w:tcBorders>
              <w:top w:val="single" w:sz="6" w:space="0" w:color="7F7F7F"/>
              <w:left w:val="single" w:sz="6" w:space="0" w:color="7F7F7F"/>
              <w:bottom w:val="single" w:sz="6" w:space="0" w:color="7F7F7F"/>
              <w:right w:val="single" w:sz="6" w:space="0" w:color="7F7F7F"/>
            </w:tcBorders>
          </w:tcPr>
          <w:p w14:paraId="7BFA7EE7" w14:textId="63C00707" w:rsidR="006F3102" w:rsidRPr="00E002A5" w:rsidRDefault="006F3102" w:rsidP="006F3102">
            <w:pPr>
              <w:jc w:val="center"/>
              <w:rPr>
                <w:rFonts w:ascii="Calibri" w:hAnsi="Calibri" w:cs="Calibri"/>
                <w:sz w:val="22"/>
                <w:szCs w:val="22"/>
              </w:rPr>
            </w:pPr>
            <w:r w:rsidRPr="00B17929">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53E369D0" w14:textId="77777777" w:rsidR="006F3102" w:rsidRPr="00E002A5" w:rsidRDefault="006F3102" w:rsidP="006F3102">
            <w:pPr>
              <w:rPr>
                <w:rFonts w:ascii="Calibri" w:hAnsi="Calibri" w:cs="Calibri"/>
                <w:sz w:val="22"/>
                <w:szCs w:val="22"/>
              </w:rPr>
            </w:pPr>
          </w:p>
        </w:tc>
      </w:tr>
      <w:tr w:rsidR="006F3102" w:rsidRPr="00E002A5" w14:paraId="290B64EC"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1F545BC7"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0251A183"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 xml:space="preserve">Fabrycznie skonfigurowane co najmniej trzy układy ekranu: normalny (krzywe dynamiczne i wartości parametrów), </w:t>
            </w:r>
            <w:proofErr w:type="spellStart"/>
            <w:r w:rsidRPr="00E002A5">
              <w:rPr>
                <w:rFonts w:ascii="Calibri" w:hAnsi="Calibri" w:cs="Calibri"/>
                <w:sz w:val="22"/>
                <w:szCs w:val="22"/>
              </w:rPr>
              <w:t>minitrendów</w:t>
            </w:r>
            <w:proofErr w:type="spellEnd"/>
            <w:r w:rsidRPr="00E002A5">
              <w:rPr>
                <w:rFonts w:ascii="Calibri" w:hAnsi="Calibri" w:cs="Calibri"/>
                <w:sz w:val="22"/>
                <w:szCs w:val="22"/>
              </w:rPr>
              <w:t xml:space="preserve"> (krótkie trendy, krzywe dynamiczne i wartości parametrów), duże odczyty. Szybkie przełączanie między ekranami, bez wchodzenia do menu, za pomocą gestów np. przesunięcie w lewo lub w prawo dwoma palcami po ekranie.  </w:t>
            </w:r>
          </w:p>
        </w:tc>
        <w:tc>
          <w:tcPr>
            <w:tcW w:w="1984" w:type="dxa"/>
            <w:tcBorders>
              <w:top w:val="single" w:sz="6" w:space="0" w:color="7F7F7F"/>
              <w:left w:val="single" w:sz="6" w:space="0" w:color="7F7F7F"/>
              <w:bottom w:val="single" w:sz="6" w:space="0" w:color="7F7F7F"/>
              <w:right w:val="single" w:sz="6" w:space="0" w:color="7F7F7F"/>
            </w:tcBorders>
          </w:tcPr>
          <w:p w14:paraId="10ADC542" w14:textId="58DA91E6" w:rsidR="006F3102" w:rsidRPr="00E002A5" w:rsidRDefault="006F3102" w:rsidP="006F3102">
            <w:pPr>
              <w:jc w:val="center"/>
              <w:rPr>
                <w:rFonts w:ascii="Calibri" w:hAnsi="Calibri" w:cs="Calibri"/>
                <w:sz w:val="22"/>
                <w:szCs w:val="22"/>
              </w:rPr>
            </w:pPr>
            <w:r w:rsidRPr="00B17929">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75751DF6" w14:textId="77777777" w:rsidR="006F3102" w:rsidRPr="00E002A5" w:rsidRDefault="006F3102" w:rsidP="006F3102">
            <w:pPr>
              <w:rPr>
                <w:rFonts w:ascii="Calibri" w:hAnsi="Calibri" w:cs="Calibri"/>
                <w:sz w:val="22"/>
                <w:szCs w:val="22"/>
              </w:rPr>
            </w:pPr>
          </w:p>
        </w:tc>
      </w:tr>
      <w:tr w:rsidR="00E002A5" w:rsidRPr="00E002A5" w14:paraId="1395D1E2"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352B83A2" w14:textId="77777777" w:rsidR="00E002A5" w:rsidRPr="00E002A5" w:rsidRDefault="00E002A5" w:rsidP="003B2E29">
            <w:pPr>
              <w:pStyle w:val="Akapitzlist"/>
              <w:rPr>
                <w:rFonts w:ascii="Calibri" w:hAnsi="Calibri" w:cs="Calibri"/>
                <w:b/>
                <w:sz w:val="22"/>
                <w:szCs w:val="22"/>
              </w:rPr>
            </w:pPr>
          </w:p>
        </w:tc>
        <w:tc>
          <w:tcPr>
            <w:tcW w:w="9359" w:type="dxa"/>
            <w:gridSpan w:val="3"/>
            <w:tcBorders>
              <w:top w:val="single" w:sz="6" w:space="0" w:color="7F7F7F"/>
              <w:left w:val="single" w:sz="6" w:space="0" w:color="7F7F7F"/>
              <w:bottom w:val="single" w:sz="6" w:space="0" w:color="7F7F7F"/>
              <w:right w:val="single" w:sz="6" w:space="0" w:color="7F7F7F"/>
            </w:tcBorders>
          </w:tcPr>
          <w:p w14:paraId="6165A5C8" w14:textId="77777777" w:rsidR="00E002A5" w:rsidRPr="00E002A5" w:rsidRDefault="00E002A5" w:rsidP="003B2E29">
            <w:pPr>
              <w:jc w:val="center"/>
              <w:rPr>
                <w:rFonts w:ascii="Calibri" w:hAnsi="Calibri" w:cs="Calibri"/>
                <w:b/>
                <w:sz w:val="22"/>
                <w:szCs w:val="22"/>
              </w:rPr>
            </w:pPr>
            <w:r w:rsidRPr="00E002A5">
              <w:rPr>
                <w:rFonts w:ascii="Calibri" w:hAnsi="Calibri" w:cs="Calibri"/>
                <w:b/>
                <w:sz w:val="22"/>
                <w:szCs w:val="22"/>
              </w:rPr>
              <w:t>SYSTEM ALARMOWY</w:t>
            </w:r>
          </w:p>
        </w:tc>
      </w:tr>
      <w:tr w:rsidR="006F3102" w:rsidRPr="00E002A5" w14:paraId="54DDCD81"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75A197FA"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53503998"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Ustawianie granic alarmowych przez użytkownika oraz funkcja automatycznego ustawiania granic alarmowych na podstawie bieżących wartości parametrów. Ustawianie głośności alarmowania (co najmniej 9 poziomów do wyboru). Ustawianie wzorców sygnalizacji alarmowej (co najmniej 3 wzorce do wyboru).</w:t>
            </w:r>
          </w:p>
        </w:tc>
        <w:tc>
          <w:tcPr>
            <w:tcW w:w="1984" w:type="dxa"/>
            <w:tcBorders>
              <w:top w:val="single" w:sz="6" w:space="0" w:color="7F7F7F"/>
              <w:left w:val="single" w:sz="6" w:space="0" w:color="7F7F7F"/>
              <w:bottom w:val="single" w:sz="6" w:space="0" w:color="7F7F7F"/>
              <w:right w:val="single" w:sz="6" w:space="0" w:color="7F7F7F"/>
            </w:tcBorders>
          </w:tcPr>
          <w:p w14:paraId="47BE6C16" w14:textId="007BB5FB" w:rsidR="006F3102" w:rsidRPr="00E002A5" w:rsidRDefault="006F3102" w:rsidP="006F3102">
            <w:pPr>
              <w:jc w:val="center"/>
              <w:rPr>
                <w:rFonts w:ascii="Calibri" w:hAnsi="Calibri" w:cs="Calibri"/>
                <w:sz w:val="22"/>
                <w:szCs w:val="22"/>
              </w:rPr>
            </w:pPr>
            <w:r w:rsidRPr="006B35A5">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6F456919" w14:textId="77777777" w:rsidR="006F3102" w:rsidRPr="00E002A5" w:rsidRDefault="006F3102" w:rsidP="006F3102">
            <w:pPr>
              <w:rPr>
                <w:rFonts w:ascii="Calibri" w:hAnsi="Calibri" w:cs="Calibri"/>
                <w:sz w:val="22"/>
                <w:szCs w:val="22"/>
              </w:rPr>
            </w:pPr>
          </w:p>
        </w:tc>
      </w:tr>
      <w:tr w:rsidR="006F3102" w:rsidRPr="00E002A5" w14:paraId="223D4C66"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5C21BD94"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1572D04D"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Funkcja zawieszenia sygnalizacji alarmowej na czas wybrany przez użytkownika (do wyboru co najmniej wstrzymanie alarmów na 1, 2, 5 i 10 minut) oraz możliwość zawieszenia alarmów na stałe (zabezpieczone hasłem).</w:t>
            </w:r>
          </w:p>
        </w:tc>
        <w:tc>
          <w:tcPr>
            <w:tcW w:w="1984" w:type="dxa"/>
            <w:tcBorders>
              <w:top w:val="single" w:sz="6" w:space="0" w:color="7F7F7F"/>
              <w:left w:val="single" w:sz="6" w:space="0" w:color="7F7F7F"/>
              <w:bottom w:val="single" w:sz="6" w:space="0" w:color="7F7F7F"/>
              <w:right w:val="single" w:sz="6" w:space="0" w:color="7F7F7F"/>
            </w:tcBorders>
          </w:tcPr>
          <w:p w14:paraId="70ADE546" w14:textId="250108D2" w:rsidR="006F3102" w:rsidRPr="00E002A5" w:rsidRDefault="006F3102" w:rsidP="006F3102">
            <w:pPr>
              <w:jc w:val="center"/>
              <w:rPr>
                <w:rFonts w:ascii="Calibri" w:hAnsi="Calibri" w:cs="Calibri"/>
                <w:sz w:val="22"/>
                <w:szCs w:val="22"/>
              </w:rPr>
            </w:pPr>
            <w:r w:rsidRPr="006B35A5">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5A419D53" w14:textId="77777777" w:rsidR="006F3102" w:rsidRPr="00E002A5" w:rsidRDefault="006F3102" w:rsidP="006F3102">
            <w:pPr>
              <w:rPr>
                <w:rFonts w:ascii="Calibri" w:hAnsi="Calibri" w:cs="Calibri"/>
                <w:sz w:val="22"/>
                <w:szCs w:val="22"/>
              </w:rPr>
            </w:pPr>
          </w:p>
        </w:tc>
      </w:tr>
      <w:tr w:rsidR="006F3102" w:rsidRPr="00E002A5" w14:paraId="1C915264"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24A8B754"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778DD5EC"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Monitor wyposażony w funkcję trybu intubacji: zawieszenie działania alarmów związanych z pomiarami CO2 i częstości oddechu, bez jednoczesnego wyłączania alarmów innych parametrów. Wyświetlanie na ekranie stopera z czasem jaki pozostał do zakończenia procesu intubacji (ustawiane czasy co najmniej do wyboru 1 i 2 minuty).</w:t>
            </w:r>
          </w:p>
        </w:tc>
        <w:tc>
          <w:tcPr>
            <w:tcW w:w="1984" w:type="dxa"/>
            <w:tcBorders>
              <w:top w:val="single" w:sz="6" w:space="0" w:color="7F7F7F"/>
              <w:left w:val="single" w:sz="6" w:space="0" w:color="7F7F7F"/>
              <w:bottom w:val="single" w:sz="6" w:space="0" w:color="7F7F7F"/>
              <w:right w:val="single" w:sz="6" w:space="0" w:color="7F7F7F"/>
            </w:tcBorders>
          </w:tcPr>
          <w:p w14:paraId="1754B8B8" w14:textId="33BC2154" w:rsidR="006F3102" w:rsidRPr="00E002A5" w:rsidRDefault="006F3102" w:rsidP="006F3102">
            <w:pPr>
              <w:jc w:val="center"/>
              <w:rPr>
                <w:rFonts w:ascii="Calibri" w:hAnsi="Calibri" w:cs="Calibri"/>
                <w:sz w:val="22"/>
                <w:szCs w:val="22"/>
              </w:rPr>
            </w:pPr>
            <w:r w:rsidRPr="006B35A5">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283F3998" w14:textId="77777777" w:rsidR="006F3102" w:rsidRPr="00E002A5" w:rsidRDefault="006F3102" w:rsidP="006F3102">
            <w:pPr>
              <w:rPr>
                <w:rFonts w:ascii="Calibri" w:hAnsi="Calibri" w:cs="Calibri"/>
                <w:sz w:val="22"/>
                <w:szCs w:val="22"/>
              </w:rPr>
            </w:pPr>
          </w:p>
        </w:tc>
      </w:tr>
      <w:tr w:rsidR="006F3102" w:rsidRPr="00E002A5" w14:paraId="7CBDB66B"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0E127576"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7530ED01"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Monitor wyposażony w funkcję trybu resuscytacyjnego: zawieszenie działania alarmów fizjologicznych wszystkich parametrów. Wyświetlanie na ekranie informacji o aktywnym trybie resuscytacyjnym</w:t>
            </w:r>
          </w:p>
        </w:tc>
        <w:tc>
          <w:tcPr>
            <w:tcW w:w="1984" w:type="dxa"/>
            <w:tcBorders>
              <w:top w:val="single" w:sz="6" w:space="0" w:color="7F7F7F"/>
              <w:left w:val="single" w:sz="6" w:space="0" w:color="7F7F7F"/>
              <w:bottom w:val="single" w:sz="6" w:space="0" w:color="7F7F7F"/>
              <w:right w:val="single" w:sz="6" w:space="0" w:color="7F7F7F"/>
            </w:tcBorders>
          </w:tcPr>
          <w:p w14:paraId="710147F4" w14:textId="6CCCC7D4" w:rsidR="006F3102" w:rsidRPr="00E002A5" w:rsidRDefault="006F3102" w:rsidP="006F3102">
            <w:pPr>
              <w:jc w:val="center"/>
              <w:rPr>
                <w:rFonts w:ascii="Calibri" w:hAnsi="Calibri" w:cs="Calibri"/>
                <w:sz w:val="22"/>
                <w:szCs w:val="22"/>
              </w:rPr>
            </w:pPr>
            <w:r w:rsidRPr="00CD62EB">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593260F0" w14:textId="77777777" w:rsidR="006F3102" w:rsidRPr="00E002A5" w:rsidRDefault="006F3102" w:rsidP="006F3102">
            <w:pPr>
              <w:rPr>
                <w:rFonts w:ascii="Calibri" w:hAnsi="Calibri" w:cs="Calibri"/>
                <w:sz w:val="22"/>
                <w:szCs w:val="22"/>
              </w:rPr>
            </w:pPr>
          </w:p>
        </w:tc>
      </w:tr>
      <w:tr w:rsidR="006F3102" w:rsidRPr="00E002A5" w14:paraId="1D7ECDC0"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150C21E8"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0D7D7E80"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 xml:space="preserve">Monitor wyposażony w funkcję wzywania pomocy - użytkownik znajdujący się przy danym monitorze może uruchomić sygnalizację dźwiękową i wizualną na innych monitorach lub centrali znajdujących się na tym samym oddziale. Na innym monitorach i centrali uruchomi się dźwiękowa sygnalizacja alarmowa oraz pojawi się okno informujące, z którego monitora wysyłany jest sygnał. </w:t>
            </w:r>
          </w:p>
        </w:tc>
        <w:tc>
          <w:tcPr>
            <w:tcW w:w="1984" w:type="dxa"/>
            <w:tcBorders>
              <w:top w:val="single" w:sz="6" w:space="0" w:color="7F7F7F"/>
              <w:left w:val="single" w:sz="6" w:space="0" w:color="7F7F7F"/>
              <w:bottom w:val="single" w:sz="6" w:space="0" w:color="7F7F7F"/>
              <w:right w:val="single" w:sz="6" w:space="0" w:color="7F7F7F"/>
            </w:tcBorders>
          </w:tcPr>
          <w:p w14:paraId="226AB757" w14:textId="071AF253" w:rsidR="006F3102" w:rsidRPr="00E002A5" w:rsidRDefault="006F3102" w:rsidP="006F3102">
            <w:pPr>
              <w:jc w:val="center"/>
              <w:rPr>
                <w:rFonts w:ascii="Calibri" w:hAnsi="Calibri" w:cs="Calibri"/>
                <w:sz w:val="22"/>
                <w:szCs w:val="22"/>
              </w:rPr>
            </w:pPr>
            <w:r w:rsidRPr="00CD62EB">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730838FA" w14:textId="77777777" w:rsidR="006F3102" w:rsidRPr="00E002A5" w:rsidRDefault="006F3102" w:rsidP="006F3102">
            <w:pPr>
              <w:rPr>
                <w:rFonts w:ascii="Calibri" w:hAnsi="Calibri" w:cs="Calibri"/>
                <w:sz w:val="22"/>
                <w:szCs w:val="22"/>
              </w:rPr>
            </w:pPr>
          </w:p>
        </w:tc>
      </w:tr>
      <w:tr w:rsidR="006F3102" w:rsidRPr="00E002A5" w14:paraId="39139427"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24A80D0D"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5E097E71"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Funkcja resetowania alarmów technicznych powodująca ich usuwanie lub zamianę w komunikaty informacyjne lub ich wyciszenie z wyświetlaniem na ekranie oznaczonego komunikatu alarmu.</w:t>
            </w:r>
          </w:p>
        </w:tc>
        <w:tc>
          <w:tcPr>
            <w:tcW w:w="1984" w:type="dxa"/>
            <w:tcBorders>
              <w:top w:val="single" w:sz="6" w:space="0" w:color="7F7F7F"/>
              <w:left w:val="single" w:sz="6" w:space="0" w:color="7F7F7F"/>
              <w:bottom w:val="single" w:sz="6" w:space="0" w:color="7F7F7F"/>
              <w:right w:val="single" w:sz="6" w:space="0" w:color="7F7F7F"/>
            </w:tcBorders>
          </w:tcPr>
          <w:p w14:paraId="2D44A346" w14:textId="2FCF199E" w:rsidR="006F3102" w:rsidRPr="00E002A5" w:rsidRDefault="006F3102" w:rsidP="006F3102">
            <w:pPr>
              <w:jc w:val="center"/>
              <w:rPr>
                <w:rFonts w:ascii="Calibri" w:hAnsi="Calibri" w:cs="Calibri"/>
                <w:sz w:val="22"/>
                <w:szCs w:val="22"/>
              </w:rPr>
            </w:pPr>
            <w:r w:rsidRPr="00CD62EB">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3D386F53" w14:textId="77777777" w:rsidR="006F3102" w:rsidRPr="00E002A5" w:rsidRDefault="006F3102" w:rsidP="006F3102">
            <w:pPr>
              <w:rPr>
                <w:rFonts w:ascii="Calibri" w:hAnsi="Calibri" w:cs="Calibri"/>
                <w:sz w:val="22"/>
                <w:szCs w:val="22"/>
              </w:rPr>
            </w:pPr>
          </w:p>
        </w:tc>
      </w:tr>
      <w:tr w:rsidR="00E002A5" w:rsidRPr="00E002A5" w14:paraId="0E62C4A3"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3F275D35" w14:textId="77777777" w:rsidR="00E002A5" w:rsidRPr="00E002A5" w:rsidRDefault="00E002A5" w:rsidP="003B2E29">
            <w:pPr>
              <w:pStyle w:val="Akapitzlist"/>
              <w:rPr>
                <w:rFonts w:ascii="Calibri" w:hAnsi="Calibri" w:cs="Calibri"/>
                <w:b/>
                <w:sz w:val="22"/>
                <w:szCs w:val="22"/>
              </w:rPr>
            </w:pPr>
          </w:p>
        </w:tc>
        <w:tc>
          <w:tcPr>
            <w:tcW w:w="9359" w:type="dxa"/>
            <w:gridSpan w:val="3"/>
            <w:tcBorders>
              <w:top w:val="single" w:sz="6" w:space="0" w:color="7F7F7F"/>
              <w:left w:val="single" w:sz="6" w:space="0" w:color="7F7F7F"/>
              <w:bottom w:val="single" w:sz="6" w:space="0" w:color="7F7F7F"/>
              <w:right w:val="single" w:sz="6" w:space="0" w:color="7F7F7F"/>
            </w:tcBorders>
          </w:tcPr>
          <w:p w14:paraId="642F8734" w14:textId="77777777" w:rsidR="00E002A5" w:rsidRPr="00E002A5" w:rsidRDefault="00E002A5" w:rsidP="006F3102">
            <w:pPr>
              <w:jc w:val="center"/>
              <w:rPr>
                <w:rFonts w:ascii="Calibri" w:hAnsi="Calibri" w:cs="Calibri"/>
                <w:b/>
                <w:sz w:val="22"/>
                <w:szCs w:val="22"/>
              </w:rPr>
            </w:pPr>
            <w:r w:rsidRPr="00E002A5">
              <w:rPr>
                <w:rFonts w:ascii="Calibri" w:hAnsi="Calibri" w:cs="Calibri"/>
                <w:b/>
                <w:sz w:val="22"/>
                <w:szCs w:val="22"/>
              </w:rPr>
              <w:t>ZAPAMIĘTYWANIE I PRZEGLĄD DANYCH</w:t>
            </w:r>
          </w:p>
        </w:tc>
      </w:tr>
      <w:tr w:rsidR="00E002A5" w:rsidRPr="00E002A5" w14:paraId="7B55C3E4"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7E1E6685" w14:textId="77777777" w:rsidR="00E002A5" w:rsidRPr="00E002A5" w:rsidRDefault="00E002A5" w:rsidP="00E002A5">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6F4FFD31" w14:textId="77777777" w:rsidR="00E002A5" w:rsidRPr="00E002A5" w:rsidRDefault="00E002A5" w:rsidP="003B2E29">
            <w:pPr>
              <w:rPr>
                <w:rFonts w:ascii="Calibri" w:hAnsi="Calibri" w:cs="Calibri"/>
                <w:sz w:val="22"/>
                <w:szCs w:val="22"/>
              </w:rPr>
            </w:pPr>
            <w:r w:rsidRPr="00E002A5">
              <w:rPr>
                <w:rFonts w:ascii="Calibri" w:hAnsi="Calibri" w:cs="Calibri"/>
                <w:sz w:val="22"/>
                <w:szCs w:val="22"/>
              </w:rPr>
              <w:t>Przynajmniej 120-godzinne trendy wszystkich mierzonych parametrów, w postaci tabel i wykresów z rozdzielczością przynajmniej 1 minuty</w:t>
            </w:r>
          </w:p>
        </w:tc>
        <w:tc>
          <w:tcPr>
            <w:tcW w:w="1984" w:type="dxa"/>
            <w:tcBorders>
              <w:top w:val="single" w:sz="6" w:space="0" w:color="7F7F7F"/>
              <w:left w:val="single" w:sz="6" w:space="0" w:color="7F7F7F"/>
              <w:bottom w:val="single" w:sz="6" w:space="0" w:color="7F7F7F"/>
              <w:right w:val="single" w:sz="6" w:space="0" w:color="7F7F7F"/>
            </w:tcBorders>
          </w:tcPr>
          <w:p w14:paraId="6AB12AD2" w14:textId="37169678" w:rsidR="00E002A5" w:rsidRPr="00E002A5" w:rsidRDefault="006F3102" w:rsidP="006F3102">
            <w:pPr>
              <w:jc w:val="center"/>
              <w:rPr>
                <w:rFonts w:ascii="Calibri" w:hAnsi="Calibri" w:cs="Calibri"/>
                <w:sz w:val="22"/>
                <w:szCs w:val="22"/>
              </w:rPr>
            </w:pPr>
            <w:r>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29C4BB64" w14:textId="77777777" w:rsidR="00E002A5" w:rsidRPr="00E002A5" w:rsidRDefault="00E002A5" w:rsidP="003B2E29">
            <w:pPr>
              <w:rPr>
                <w:rFonts w:ascii="Calibri" w:hAnsi="Calibri" w:cs="Calibri"/>
                <w:sz w:val="22"/>
                <w:szCs w:val="22"/>
              </w:rPr>
            </w:pPr>
          </w:p>
        </w:tc>
      </w:tr>
      <w:tr w:rsidR="006F3102" w:rsidRPr="00E002A5" w14:paraId="2B4AF09C"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2448F67E"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1E251292"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 xml:space="preserve">Zapamiętywanie krzywych dynamicznych w czasie rzeczywistym (funkcja </w:t>
            </w:r>
            <w:proofErr w:type="spellStart"/>
            <w:r w:rsidRPr="00E002A5">
              <w:rPr>
                <w:rFonts w:ascii="Calibri" w:hAnsi="Calibri" w:cs="Calibri"/>
                <w:sz w:val="22"/>
                <w:szCs w:val="22"/>
              </w:rPr>
              <w:t>full</w:t>
            </w:r>
            <w:proofErr w:type="spellEnd"/>
            <w:r w:rsidRPr="00E002A5">
              <w:rPr>
                <w:rFonts w:ascii="Calibri" w:hAnsi="Calibri" w:cs="Calibri"/>
                <w:sz w:val="22"/>
                <w:szCs w:val="22"/>
              </w:rPr>
              <w:t xml:space="preserve"> </w:t>
            </w:r>
            <w:proofErr w:type="spellStart"/>
            <w:r w:rsidRPr="00E002A5">
              <w:rPr>
                <w:rFonts w:ascii="Calibri" w:hAnsi="Calibri" w:cs="Calibri"/>
                <w:sz w:val="22"/>
                <w:szCs w:val="22"/>
              </w:rPr>
              <w:t>disclosure</w:t>
            </w:r>
            <w:proofErr w:type="spellEnd"/>
            <w:r w:rsidRPr="00E002A5">
              <w:rPr>
                <w:rFonts w:ascii="Calibri" w:hAnsi="Calibri" w:cs="Calibri"/>
                <w:sz w:val="22"/>
                <w:szCs w:val="22"/>
              </w:rPr>
              <w:t xml:space="preserve">) – pamięć co najmniej 24 godziny </w:t>
            </w:r>
          </w:p>
        </w:tc>
        <w:tc>
          <w:tcPr>
            <w:tcW w:w="1984" w:type="dxa"/>
            <w:tcBorders>
              <w:top w:val="single" w:sz="6" w:space="0" w:color="7F7F7F"/>
              <w:left w:val="single" w:sz="6" w:space="0" w:color="7F7F7F"/>
              <w:bottom w:val="single" w:sz="6" w:space="0" w:color="7F7F7F"/>
              <w:right w:val="single" w:sz="6" w:space="0" w:color="7F7F7F"/>
            </w:tcBorders>
          </w:tcPr>
          <w:p w14:paraId="0F4639DE" w14:textId="414F180E" w:rsidR="006F3102" w:rsidRPr="00E002A5" w:rsidRDefault="006F3102" w:rsidP="006F3102">
            <w:pPr>
              <w:jc w:val="center"/>
              <w:rPr>
                <w:rFonts w:ascii="Calibri" w:hAnsi="Calibri" w:cs="Calibri"/>
                <w:sz w:val="22"/>
                <w:szCs w:val="22"/>
              </w:rPr>
            </w:pPr>
            <w:r w:rsidRPr="00CA075A">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1426B06D" w14:textId="77777777" w:rsidR="006F3102" w:rsidRPr="00E002A5" w:rsidRDefault="006F3102" w:rsidP="006F3102">
            <w:pPr>
              <w:rPr>
                <w:rFonts w:ascii="Calibri" w:hAnsi="Calibri" w:cs="Calibri"/>
                <w:sz w:val="22"/>
                <w:szCs w:val="22"/>
              </w:rPr>
            </w:pPr>
          </w:p>
        </w:tc>
      </w:tr>
      <w:tr w:rsidR="006F3102" w:rsidRPr="00E002A5" w14:paraId="2974F72B"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74FD4E2F"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34AD6626"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Zapamiętywanie co najmniej 700 zdarzeń alarmowych (krzywe i odpowiadające im wartości parametrów)</w:t>
            </w:r>
          </w:p>
        </w:tc>
        <w:tc>
          <w:tcPr>
            <w:tcW w:w="1984" w:type="dxa"/>
            <w:tcBorders>
              <w:top w:val="single" w:sz="6" w:space="0" w:color="7F7F7F"/>
              <w:left w:val="single" w:sz="6" w:space="0" w:color="7F7F7F"/>
              <w:bottom w:val="single" w:sz="6" w:space="0" w:color="7F7F7F"/>
              <w:right w:val="single" w:sz="6" w:space="0" w:color="7F7F7F"/>
            </w:tcBorders>
          </w:tcPr>
          <w:p w14:paraId="7B348A0E" w14:textId="125AB964" w:rsidR="006F3102" w:rsidRPr="00E002A5" w:rsidRDefault="006F3102" w:rsidP="006F3102">
            <w:pPr>
              <w:jc w:val="center"/>
              <w:rPr>
                <w:rFonts w:ascii="Calibri" w:hAnsi="Calibri" w:cs="Calibri"/>
                <w:sz w:val="22"/>
                <w:szCs w:val="22"/>
              </w:rPr>
            </w:pPr>
            <w:r w:rsidRPr="00CA075A">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29A13B84" w14:textId="77777777" w:rsidR="006F3102" w:rsidRPr="00E002A5" w:rsidRDefault="006F3102" w:rsidP="006F3102">
            <w:pPr>
              <w:rPr>
                <w:rFonts w:ascii="Calibri" w:hAnsi="Calibri" w:cs="Calibri"/>
                <w:sz w:val="22"/>
                <w:szCs w:val="22"/>
              </w:rPr>
            </w:pPr>
          </w:p>
        </w:tc>
      </w:tr>
      <w:tr w:rsidR="006F3102" w:rsidRPr="00E002A5" w14:paraId="736E32EF"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073AF9A7"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7C8824A6"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Funkcja eksportu danych wypisanych pacjentów na pamięć USB z możliwością ich późniejszego przeglądu na komputerze osobistym przy pomocy dedykowanego oprogramowania</w:t>
            </w:r>
          </w:p>
        </w:tc>
        <w:tc>
          <w:tcPr>
            <w:tcW w:w="1984" w:type="dxa"/>
            <w:tcBorders>
              <w:top w:val="single" w:sz="6" w:space="0" w:color="7F7F7F"/>
              <w:left w:val="single" w:sz="6" w:space="0" w:color="7F7F7F"/>
              <w:bottom w:val="single" w:sz="6" w:space="0" w:color="7F7F7F"/>
              <w:right w:val="single" w:sz="6" w:space="0" w:color="7F7F7F"/>
            </w:tcBorders>
          </w:tcPr>
          <w:p w14:paraId="0DF30239" w14:textId="3D86DECF" w:rsidR="006F3102" w:rsidRPr="00E002A5" w:rsidRDefault="006F3102" w:rsidP="006F3102">
            <w:pPr>
              <w:jc w:val="center"/>
              <w:rPr>
                <w:rFonts w:ascii="Calibri" w:hAnsi="Calibri" w:cs="Calibri"/>
                <w:sz w:val="22"/>
                <w:szCs w:val="22"/>
              </w:rPr>
            </w:pPr>
            <w:r w:rsidRPr="00CA075A">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3EA8F93B" w14:textId="77777777" w:rsidR="006F3102" w:rsidRPr="00E002A5" w:rsidRDefault="006F3102" w:rsidP="006F3102">
            <w:pPr>
              <w:rPr>
                <w:rFonts w:ascii="Calibri" w:hAnsi="Calibri" w:cs="Calibri"/>
                <w:sz w:val="22"/>
                <w:szCs w:val="22"/>
              </w:rPr>
            </w:pPr>
          </w:p>
        </w:tc>
      </w:tr>
      <w:tr w:rsidR="00E002A5" w:rsidRPr="00E002A5" w14:paraId="26507D1B" w14:textId="77777777" w:rsidTr="003B2E29">
        <w:trPr>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65A4E73E" w14:textId="77777777" w:rsidR="00E002A5" w:rsidRPr="00E002A5" w:rsidRDefault="00E002A5" w:rsidP="003B2E29">
            <w:pPr>
              <w:pStyle w:val="Akapitzlist"/>
              <w:rPr>
                <w:rFonts w:ascii="Calibri" w:hAnsi="Calibri" w:cs="Calibri"/>
                <w:b/>
                <w:sz w:val="22"/>
                <w:szCs w:val="22"/>
              </w:rPr>
            </w:pPr>
          </w:p>
        </w:tc>
        <w:tc>
          <w:tcPr>
            <w:tcW w:w="9367" w:type="dxa"/>
            <w:gridSpan w:val="4"/>
            <w:tcBorders>
              <w:top w:val="single" w:sz="6" w:space="0" w:color="7F7F7F"/>
              <w:left w:val="single" w:sz="6" w:space="0" w:color="7F7F7F"/>
              <w:bottom w:val="single" w:sz="6" w:space="0" w:color="7F7F7F"/>
              <w:right w:val="single" w:sz="6" w:space="0" w:color="7F7F7F"/>
            </w:tcBorders>
          </w:tcPr>
          <w:p w14:paraId="02482F70" w14:textId="77777777" w:rsidR="00E002A5" w:rsidRPr="00E002A5" w:rsidRDefault="00E002A5" w:rsidP="003B2E29">
            <w:pPr>
              <w:pStyle w:val="Akapitzlist"/>
              <w:jc w:val="center"/>
              <w:rPr>
                <w:rFonts w:ascii="Calibri" w:hAnsi="Calibri" w:cs="Calibri"/>
                <w:b/>
                <w:sz w:val="22"/>
                <w:szCs w:val="22"/>
              </w:rPr>
            </w:pPr>
            <w:r w:rsidRPr="00E002A5">
              <w:rPr>
                <w:rFonts w:ascii="Calibri" w:hAnsi="Calibri" w:cs="Calibri"/>
                <w:b/>
                <w:sz w:val="22"/>
                <w:szCs w:val="22"/>
              </w:rPr>
              <w:t>PRACA W SIECI MONITOROWANIA/ WYSYŁANIE DANYCH</w:t>
            </w:r>
          </w:p>
        </w:tc>
      </w:tr>
      <w:tr w:rsidR="006F3102" w:rsidRPr="00E002A5" w14:paraId="3224F294"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78DC4F19"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36D35E34"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 xml:space="preserve">Możliwość współpracy z centralą pielęgniarską </w:t>
            </w:r>
          </w:p>
        </w:tc>
        <w:tc>
          <w:tcPr>
            <w:tcW w:w="1984" w:type="dxa"/>
            <w:tcBorders>
              <w:top w:val="single" w:sz="6" w:space="0" w:color="7F7F7F"/>
              <w:left w:val="single" w:sz="6" w:space="0" w:color="7F7F7F"/>
              <w:bottom w:val="single" w:sz="6" w:space="0" w:color="7F7F7F"/>
              <w:right w:val="single" w:sz="6" w:space="0" w:color="7F7F7F"/>
            </w:tcBorders>
          </w:tcPr>
          <w:p w14:paraId="65D1CEEC" w14:textId="536C39D3" w:rsidR="006F3102" w:rsidRPr="00E002A5" w:rsidRDefault="006F3102" w:rsidP="006F3102">
            <w:pPr>
              <w:jc w:val="center"/>
              <w:rPr>
                <w:rFonts w:ascii="Calibri" w:hAnsi="Calibri" w:cs="Calibri"/>
                <w:sz w:val="22"/>
                <w:szCs w:val="22"/>
              </w:rPr>
            </w:pPr>
            <w:r w:rsidRPr="00910B50">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3CFC325D" w14:textId="77777777" w:rsidR="006F3102" w:rsidRPr="00E002A5" w:rsidRDefault="006F3102" w:rsidP="006F3102">
            <w:pPr>
              <w:rPr>
                <w:rFonts w:ascii="Calibri" w:hAnsi="Calibri" w:cs="Calibri"/>
                <w:sz w:val="22"/>
                <w:szCs w:val="22"/>
              </w:rPr>
            </w:pPr>
          </w:p>
        </w:tc>
      </w:tr>
      <w:tr w:rsidR="006F3102" w:rsidRPr="00E002A5" w14:paraId="2DA35771"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4E7AD49B"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593B2B07"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Możliwość podłączenia do monitora, bez pośrednictwa centrali, sieciowej drukarki laserowej i wykonywania wydruków na standardowym papierze formatu A4: krzywych dynamicznych oraz trendów graficznych i tabelarycznych.</w:t>
            </w:r>
          </w:p>
        </w:tc>
        <w:tc>
          <w:tcPr>
            <w:tcW w:w="1984" w:type="dxa"/>
            <w:tcBorders>
              <w:top w:val="single" w:sz="6" w:space="0" w:color="7F7F7F"/>
              <w:left w:val="single" w:sz="6" w:space="0" w:color="7F7F7F"/>
              <w:bottom w:val="single" w:sz="6" w:space="0" w:color="7F7F7F"/>
              <w:right w:val="single" w:sz="6" w:space="0" w:color="7F7F7F"/>
            </w:tcBorders>
          </w:tcPr>
          <w:p w14:paraId="4DEE9AE3" w14:textId="79F33AFA" w:rsidR="006F3102" w:rsidRPr="00E002A5" w:rsidRDefault="006F3102" w:rsidP="006F3102">
            <w:pPr>
              <w:jc w:val="center"/>
              <w:rPr>
                <w:rFonts w:ascii="Calibri" w:hAnsi="Calibri" w:cs="Calibri"/>
                <w:sz w:val="22"/>
                <w:szCs w:val="22"/>
              </w:rPr>
            </w:pPr>
            <w:r w:rsidRPr="00910B50">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55B8CD28" w14:textId="77777777" w:rsidR="006F3102" w:rsidRPr="00E002A5" w:rsidRDefault="006F3102" w:rsidP="006F3102">
            <w:pPr>
              <w:rPr>
                <w:rFonts w:ascii="Calibri" w:hAnsi="Calibri" w:cs="Calibri"/>
                <w:sz w:val="22"/>
                <w:szCs w:val="22"/>
              </w:rPr>
            </w:pPr>
          </w:p>
        </w:tc>
      </w:tr>
      <w:tr w:rsidR="006F3102" w:rsidRPr="00E002A5" w14:paraId="633D3960"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6E5E50B5"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334B149C"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Możliwość bezpośredniego wysyłania danych w standardzie HL7 (wartości parametrów, krzywe i alarmy) z monitora pacjenta bez pośrednictwa centrali lub innego urządzenia typu bramka.</w:t>
            </w:r>
          </w:p>
        </w:tc>
        <w:tc>
          <w:tcPr>
            <w:tcW w:w="1984" w:type="dxa"/>
            <w:tcBorders>
              <w:top w:val="single" w:sz="6" w:space="0" w:color="7F7F7F"/>
              <w:left w:val="single" w:sz="6" w:space="0" w:color="7F7F7F"/>
              <w:bottom w:val="single" w:sz="6" w:space="0" w:color="7F7F7F"/>
              <w:right w:val="single" w:sz="6" w:space="0" w:color="7F7F7F"/>
            </w:tcBorders>
          </w:tcPr>
          <w:p w14:paraId="62626AE1" w14:textId="032A752C" w:rsidR="006F3102" w:rsidRPr="00E002A5" w:rsidRDefault="006F3102" w:rsidP="006F3102">
            <w:pPr>
              <w:jc w:val="center"/>
              <w:rPr>
                <w:rFonts w:ascii="Calibri" w:hAnsi="Calibri" w:cs="Calibri"/>
                <w:sz w:val="22"/>
                <w:szCs w:val="22"/>
              </w:rPr>
            </w:pPr>
            <w:r w:rsidRPr="00910B50">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74AB1B24" w14:textId="77777777" w:rsidR="006F3102" w:rsidRPr="00E002A5" w:rsidRDefault="006F3102" w:rsidP="006F3102">
            <w:pPr>
              <w:rPr>
                <w:rFonts w:ascii="Calibri" w:hAnsi="Calibri" w:cs="Calibri"/>
                <w:sz w:val="22"/>
                <w:szCs w:val="22"/>
              </w:rPr>
            </w:pPr>
          </w:p>
        </w:tc>
      </w:tr>
      <w:tr w:rsidR="006F3102" w:rsidRPr="00E002A5" w14:paraId="4224D8AB"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3ECEF71C"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24EAC1D8"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 xml:space="preserve">Monitor przystosowany do współpracy z nadajnikiem telemetrycznym z możliwością przeglądania danych pomiarów z urządzenia telemetrycznego na ekranie monitora. </w:t>
            </w:r>
          </w:p>
        </w:tc>
        <w:tc>
          <w:tcPr>
            <w:tcW w:w="1984" w:type="dxa"/>
            <w:tcBorders>
              <w:top w:val="single" w:sz="6" w:space="0" w:color="7F7F7F"/>
              <w:left w:val="single" w:sz="6" w:space="0" w:color="7F7F7F"/>
              <w:bottom w:val="single" w:sz="6" w:space="0" w:color="7F7F7F"/>
              <w:right w:val="single" w:sz="6" w:space="0" w:color="7F7F7F"/>
            </w:tcBorders>
          </w:tcPr>
          <w:p w14:paraId="5D1B38AF" w14:textId="0EDDBF20" w:rsidR="006F3102" w:rsidRPr="00E002A5" w:rsidRDefault="006F3102" w:rsidP="006F3102">
            <w:pPr>
              <w:jc w:val="center"/>
              <w:rPr>
                <w:rFonts w:ascii="Calibri" w:hAnsi="Calibri" w:cs="Calibri"/>
                <w:sz w:val="22"/>
                <w:szCs w:val="22"/>
              </w:rPr>
            </w:pPr>
            <w:r w:rsidRPr="00910B50">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785A7AC5" w14:textId="77777777" w:rsidR="006F3102" w:rsidRPr="00E002A5" w:rsidRDefault="006F3102" w:rsidP="006F3102">
            <w:pPr>
              <w:rPr>
                <w:rFonts w:ascii="Calibri" w:hAnsi="Calibri" w:cs="Calibri"/>
                <w:sz w:val="22"/>
                <w:szCs w:val="22"/>
              </w:rPr>
            </w:pPr>
          </w:p>
        </w:tc>
      </w:tr>
      <w:tr w:rsidR="006F3102" w:rsidRPr="00E002A5" w14:paraId="21BAD923"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1A98F0C4"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78593E1B"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Informacje o pacjencie, ustawienia alarmów synchronizowane pomiędzy</w:t>
            </w:r>
          </w:p>
          <w:p w14:paraId="12B086C6"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 xml:space="preserve">monitorem i centralą </w:t>
            </w:r>
          </w:p>
        </w:tc>
        <w:tc>
          <w:tcPr>
            <w:tcW w:w="1984" w:type="dxa"/>
            <w:tcBorders>
              <w:top w:val="single" w:sz="6" w:space="0" w:color="7F7F7F"/>
              <w:left w:val="single" w:sz="6" w:space="0" w:color="7F7F7F"/>
              <w:bottom w:val="single" w:sz="6" w:space="0" w:color="7F7F7F"/>
              <w:right w:val="single" w:sz="6" w:space="0" w:color="7F7F7F"/>
            </w:tcBorders>
          </w:tcPr>
          <w:p w14:paraId="192F223D" w14:textId="6BF9F38F" w:rsidR="006F3102" w:rsidRPr="00E002A5" w:rsidRDefault="006F3102" w:rsidP="006F3102">
            <w:pPr>
              <w:jc w:val="center"/>
              <w:rPr>
                <w:rFonts w:ascii="Calibri" w:hAnsi="Calibri" w:cs="Calibri"/>
                <w:sz w:val="22"/>
                <w:szCs w:val="22"/>
              </w:rPr>
            </w:pPr>
            <w:r w:rsidRPr="00910B50">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40413C80" w14:textId="77777777" w:rsidR="006F3102" w:rsidRPr="00E002A5" w:rsidRDefault="006F3102" w:rsidP="006F3102">
            <w:pPr>
              <w:rPr>
                <w:rFonts w:ascii="Calibri" w:hAnsi="Calibri" w:cs="Calibri"/>
                <w:sz w:val="22"/>
                <w:szCs w:val="22"/>
              </w:rPr>
            </w:pPr>
          </w:p>
        </w:tc>
      </w:tr>
      <w:tr w:rsidR="00E002A5" w:rsidRPr="00E002A5" w14:paraId="5F806646"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1828D701" w14:textId="77777777" w:rsidR="00E002A5" w:rsidRPr="00E002A5" w:rsidRDefault="00E002A5" w:rsidP="003B2E29">
            <w:pPr>
              <w:pStyle w:val="Akapitzlist"/>
              <w:rPr>
                <w:rFonts w:ascii="Calibri" w:hAnsi="Calibri" w:cs="Calibri"/>
                <w:b/>
                <w:sz w:val="22"/>
                <w:szCs w:val="22"/>
              </w:rPr>
            </w:pPr>
          </w:p>
        </w:tc>
        <w:tc>
          <w:tcPr>
            <w:tcW w:w="9359" w:type="dxa"/>
            <w:gridSpan w:val="3"/>
            <w:tcBorders>
              <w:top w:val="single" w:sz="6" w:space="0" w:color="7F7F7F"/>
              <w:left w:val="single" w:sz="6" w:space="0" w:color="7F7F7F"/>
              <w:bottom w:val="single" w:sz="6" w:space="0" w:color="7F7F7F"/>
              <w:right w:val="single" w:sz="6" w:space="0" w:color="7F7F7F"/>
            </w:tcBorders>
          </w:tcPr>
          <w:p w14:paraId="71CCF92F" w14:textId="77777777" w:rsidR="00E002A5" w:rsidRPr="00E002A5" w:rsidRDefault="00E002A5" w:rsidP="003B2E29">
            <w:pPr>
              <w:rPr>
                <w:rFonts w:ascii="Calibri" w:hAnsi="Calibri" w:cs="Calibri"/>
                <w:b/>
                <w:sz w:val="22"/>
                <w:szCs w:val="22"/>
              </w:rPr>
            </w:pPr>
            <w:r w:rsidRPr="00E002A5">
              <w:rPr>
                <w:rFonts w:ascii="Calibri" w:hAnsi="Calibri" w:cs="Calibri"/>
                <w:b/>
                <w:sz w:val="22"/>
                <w:szCs w:val="22"/>
              </w:rPr>
              <w:t>MODUŁY WIELORAMETROWE I TRANSPORTOWE</w:t>
            </w:r>
          </w:p>
        </w:tc>
      </w:tr>
      <w:tr w:rsidR="00E002A5" w:rsidRPr="00E002A5" w14:paraId="0865F661"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5BE08257" w14:textId="77777777" w:rsidR="00E002A5" w:rsidRPr="00E002A5" w:rsidRDefault="00E002A5" w:rsidP="00E002A5">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4EF5278F" w14:textId="77777777" w:rsidR="00E002A5" w:rsidRPr="00E002A5" w:rsidRDefault="00E002A5" w:rsidP="003B2E29">
            <w:pPr>
              <w:rPr>
                <w:rFonts w:ascii="Calibri" w:hAnsi="Calibri" w:cs="Calibri"/>
                <w:sz w:val="22"/>
                <w:szCs w:val="22"/>
              </w:rPr>
            </w:pPr>
            <w:r w:rsidRPr="00E002A5">
              <w:rPr>
                <w:rFonts w:ascii="Calibri" w:hAnsi="Calibri" w:cs="Calibri"/>
                <w:sz w:val="22"/>
                <w:szCs w:val="22"/>
              </w:rPr>
              <w:t xml:space="preserve">W ofercie z monitorami pacjenta dwa moduły wieloparametrowe lub zestawy modułów zapewniające monitorowanie co najmniej EKG, NIBP, SpO2, 2Temp, 2IBP </w:t>
            </w:r>
          </w:p>
          <w:p w14:paraId="2DFB7EA1" w14:textId="77777777" w:rsidR="00E002A5" w:rsidRPr="00E002A5" w:rsidRDefault="00E002A5" w:rsidP="003B2E29">
            <w:pPr>
              <w:rPr>
                <w:rFonts w:ascii="Calibri" w:hAnsi="Calibri" w:cs="Calibri"/>
                <w:sz w:val="22"/>
                <w:szCs w:val="22"/>
              </w:rPr>
            </w:pPr>
            <w:r w:rsidRPr="00E002A5">
              <w:rPr>
                <w:rFonts w:ascii="Calibri" w:hAnsi="Calibri" w:cs="Calibri"/>
                <w:sz w:val="22"/>
                <w:szCs w:val="22"/>
              </w:rPr>
              <w:t>Oraz sześć monitorów (modułów) transportowych z podglądem monitorowanych parametrów co najmniej EKG, NIBP, SpO2, 2Temp, 2IBP – (opis poszczególnych parametrów poniżej) podczas transportu pacjenta, będący jednocześnie modułem pomiarowym monitora pacjenta po włożeniu do miejsca parkingowego jednostki głównej.  Ekran monitora transportowego o przekątnej od 5 do 6”. Rozdzielczość co najmniej 1200 x 700 pikseli. Ciężar monitora nie więcej niż 1,2 kg. Czas pracy na zasilaniu akumulatorowym co najmniej 4 godziny. Własna wewnętrzna pamięć monitora transportowego pozwalająca na zapamiętywanie co najmniej 24 godzin trendów monitorowanych parametrów. Obsługa poprzez ekran dotykowy. Ochrona monitora przed wnikaniem ciał obcych nie mniejszych niż 1,0 mm oraz przed dostępem do części niebezpiecznych przez dotknięcie drutem; ochrona przed szkodliwym wpływem rozpryskiwanej wody – stopień ochrony co najmniej IP44.</w:t>
            </w:r>
          </w:p>
          <w:p w14:paraId="2435ACA0" w14:textId="77777777" w:rsidR="00E002A5" w:rsidRPr="00E002A5" w:rsidRDefault="00E002A5" w:rsidP="003B2E29">
            <w:pPr>
              <w:rPr>
                <w:rFonts w:ascii="Calibri" w:hAnsi="Calibri" w:cs="Calibri"/>
                <w:sz w:val="22"/>
                <w:szCs w:val="22"/>
              </w:rPr>
            </w:pPr>
            <w:r w:rsidRPr="00E002A5">
              <w:rPr>
                <w:rFonts w:ascii="Calibri" w:hAnsi="Calibri" w:cs="Calibri"/>
                <w:sz w:val="22"/>
                <w:szCs w:val="22"/>
              </w:rPr>
              <w:t xml:space="preserve">Lub </w:t>
            </w:r>
          </w:p>
          <w:p w14:paraId="3A2C2A33" w14:textId="77777777" w:rsidR="00E002A5" w:rsidRPr="00E002A5" w:rsidRDefault="00E002A5" w:rsidP="003B2E29">
            <w:pPr>
              <w:rPr>
                <w:rFonts w:ascii="Calibri" w:hAnsi="Calibri" w:cs="Calibri"/>
                <w:sz w:val="22"/>
                <w:szCs w:val="22"/>
              </w:rPr>
            </w:pPr>
            <w:r w:rsidRPr="00E002A5">
              <w:rPr>
                <w:rFonts w:ascii="Calibri" w:hAnsi="Calibri" w:cs="Calibri"/>
                <w:sz w:val="22"/>
                <w:szCs w:val="22"/>
              </w:rPr>
              <w:t xml:space="preserve">W ofercie z monitorami pacjenta dwa moduły wieloparametrowe lub zestawy modułów zapewniające monitorowanie co najmniej EKG, NIBP, SpO2, 2Temp, 2IBP </w:t>
            </w:r>
          </w:p>
          <w:p w14:paraId="4B5BC995" w14:textId="77777777" w:rsidR="00E002A5" w:rsidRPr="00E002A5" w:rsidRDefault="00E002A5" w:rsidP="003B2E29">
            <w:pPr>
              <w:rPr>
                <w:rFonts w:ascii="Calibri" w:hAnsi="Calibri" w:cs="Calibri"/>
                <w:sz w:val="22"/>
                <w:szCs w:val="22"/>
              </w:rPr>
            </w:pPr>
            <w:r w:rsidRPr="00E002A5">
              <w:rPr>
                <w:rFonts w:ascii="Calibri" w:hAnsi="Calibri" w:cs="Calibri"/>
                <w:sz w:val="22"/>
                <w:szCs w:val="22"/>
              </w:rPr>
              <w:t xml:space="preserve">oraz kompatybilność z posiadanymi przez Zamawiającego sześcioma monitorami (modułami) transportowymi </w:t>
            </w:r>
            <w:proofErr w:type="spellStart"/>
            <w:r w:rsidRPr="00E002A5">
              <w:rPr>
                <w:rFonts w:ascii="Calibri" w:hAnsi="Calibri" w:cs="Calibri"/>
                <w:sz w:val="22"/>
                <w:szCs w:val="22"/>
              </w:rPr>
              <w:t>BeneVision</w:t>
            </w:r>
            <w:proofErr w:type="spellEnd"/>
            <w:r w:rsidRPr="00E002A5">
              <w:rPr>
                <w:rFonts w:ascii="Calibri" w:hAnsi="Calibri" w:cs="Calibri"/>
                <w:sz w:val="22"/>
                <w:szCs w:val="22"/>
              </w:rPr>
              <w:t xml:space="preserve"> N1 z podglądem monitorowanych parametrów EKG, NIBP, SpO2, 2Temp, 2IBP</w:t>
            </w:r>
          </w:p>
        </w:tc>
        <w:tc>
          <w:tcPr>
            <w:tcW w:w="1984" w:type="dxa"/>
            <w:tcBorders>
              <w:top w:val="single" w:sz="6" w:space="0" w:color="7F7F7F"/>
              <w:left w:val="single" w:sz="6" w:space="0" w:color="7F7F7F"/>
              <w:bottom w:val="single" w:sz="6" w:space="0" w:color="7F7F7F"/>
              <w:right w:val="single" w:sz="6" w:space="0" w:color="7F7F7F"/>
            </w:tcBorders>
          </w:tcPr>
          <w:p w14:paraId="1B5137EA" w14:textId="26919ACF" w:rsidR="00E002A5" w:rsidRPr="00E002A5" w:rsidRDefault="006F3102" w:rsidP="006F3102">
            <w:pPr>
              <w:jc w:val="center"/>
              <w:rPr>
                <w:rFonts w:ascii="Calibri" w:hAnsi="Calibri" w:cs="Calibri"/>
                <w:sz w:val="22"/>
                <w:szCs w:val="22"/>
              </w:rPr>
            </w:pPr>
            <w:r>
              <w:rPr>
                <w:rFonts w:ascii="Calibri" w:hAnsi="Calibri" w:cs="Calibri"/>
                <w:sz w:val="22"/>
                <w:szCs w:val="22"/>
              </w:rPr>
              <w:t>TAK, PODAĆ</w:t>
            </w:r>
          </w:p>
        </w:tc>
        <w:tc>
          <w:tcPr>
            <w:tcW w:w="1992" w:type="dxa"/>
            <w:tcBorders>
              <w:top w:val="single" w:sz="6" w:space="0" w:color="7F7F7F"/>
              <w:left w:val="single" w:sz="6" w:space="0" w:color="7F7F7F"/>
              <w:bottom w:val="single" w:sz="6" w:space="0" w:color="7F7F7F"/>
              <w:right w:val="single" w:sz="6" w:space="0" w:color="7F7F7F"/>
            </w:tcBorders>
          </w:tcPr>
          <w:p w14:paraId="15DADD3C" w14:textId="77777777" w:rsidR="00E002A5" w:rsidRPr="00E002A5" w:rsidRDefault="00E002A5" w:rsidP="003B2E29">
            <w:pPr>
              <w:rPr>
                <w:rFonts w:ascii="Calibri" w:hAnsi="Calibri" w:cs="Calibri"/>
                <w:sz w:val="22"/>
                <w:szCs w:val="22"/>
              </w:rPr>
            </w:pPr>
          </w:p>
        </w:tc>
      </w:tr>
      <w:tr w:rsidR="00E002A5" w:rsidRPr="00E002A5" w14:paraId="0FE3846D"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4AA9A7D3" w14:textId="77777777" w:rsidR="00E002A5" w:rsidRPr="00E002A5" w:rsidRDefault="00E002A5" w:rsidP="003B2E29">
            <w:pPr>
              <w:pStyle w:val="Akapitzlist"/>
              <w:rPr>
                <w:rFonts w:ascii="Calibri" w:hAnsi="Calibri" w:cs="Calibri"/>
                <w:b/>
                <w:sz w:val="22"/>
                <w:szCs w:val="22"/>
              </w:rPr>
            </w:pPr>
          </w:p>
        </w:tc>
        <w:tc>
          <w:tcPr>
            <w:tcW w:w="9359" w:type="dxa"/>
            <w:gridSpan w:val="3"/>
            <w:tcBorders>
              <w:top w:val="single" w:sz="6" w:space="0" w:color="7F7F7F"/>
              <w:left w:val="single" w:sz="6" w:space="0" w:color="7F7F7F"/>
              <w:bottom w:val="single" w:sz="6" w:space="0" w:color="7F7F7F"/>
              <w:right w:val="single" w:sz="6" w:space="0" w:color="7F7F7F"/>
            </w:tcBorders>
          </w:tcPr>
          <w:p w14:paraId="69983985" w14:textId="77777777" w:rsidR="00E002A5" w:rsidRPr="00E002A5" w:rsidRDefault="00E002A5" w:rsidP="003B2E29">
            <w:pPr>
              <w:jc w:val="center"/>
              <w:rPr>
                <w:rFonts w:ascii="Calibri" w:hAnsi="Calibri" w:cs="Calibri"/>
                <w:b/>
                <w:sz w:val="22"/>
                <w:szCs w:val="22"/>
              </w:rPr>
            </w:pPr>
            <w:r w:rsidRPr="00E002A5">
              <w:rPr>
                <w:rFonts w:ascii="Calibri" w:hAnsi="Calibri" w:cs="Calibri"/>
                <w:b/>
                <w:sz w:val="22"/>
                <w:szCs w:val="22"/>
              </w:rPr>
              <w:t>MIERZONE PARAMETRY</w:t>
            </w:r>
          </w:p>
        </w:tc>
      </w:tr>
      <w:tr w:rsidR="00E002A5" w:rsidRPr="00E002A5" w14:paraId="48294F3A"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265C0CA9" w14:textId="77777777" w:rsidR="00E002A5" w:rsidRPr="00E002A5" w:rsidRDefault="00E002A5" w:rsidP="00E002A5">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345E78AD" w14:textId="77777777" w:rsidR="00E002A5" w:rsidRPr="00E002A5" w:rsidRDefault="00E002A5" w:rsidP="003B2E29">
            <w:pPr>
              <w:rPr>
                <w:rFonts w:ascii="Calibri" w:hAnsi="Calibri" w:cs="Calibri"/>
                <w:sz w:val="22"/>
                <w:szCs w:val="22"/>
              </w:rPr>
            </w:pPr>
            <w:r w:rsidRPr="00E002A5">
              <w:rPr>
                <w:rFonts w:ascii="Calibri" w:hAnsi="Calibri" w:cs="Calibri"/>
                <w:sz w:val="22"/>
                <w:szCs w:val="22"/>
              </w:rPr>
              <w:t xml:space="preserve">EKG - pomiar częstości akcji serca. Zakres minimum 30-300/min. Ustawianie prędkości przesuwu krzywej EKG do wyboru co najmniej: 6.25; 12.5; 25; 50 mm/s. Ustawianie wzmocnienia krzywej EKG do wyboru co najmniej: x0.125; x0.25; 0.5; x1; x2; x4; auto. </w:t>
            </w:r>
          </w:p>
          <w:p w14:paraId="2748510D" w14:textId="77777777" w:rsidR="00E002A5" w:rsidRPr="00E002A5" w:rsidRDefault="00E002A5" w:rsidP="003B2E29">
            <w:pPr>
              <w:rPr>
                <w:rFonts w:ascii="Calibri" w:hAnsi="Calibri" w:cs="Calibri"/>
                <w:sz w:val="22"/>
                <w:szCs w:val="22"/>
              </w:rPr>
            </w:pPr>
            <w:r w:rsidRPr="00E002A5">
              <w:rPr>
                <w:rFonts w:ascii="Calibri" w:hAnsi="Calibri" w:cs="Calibri"/>
                <w:sz w:val="22"/>
                <w:szCs w:val="22"/>
              </w:rPr>
              <w:t xml:space="preserve">Monitorowanie do 7 </w:t>
            </w:r>
            <w:proofErr w:type="spellStart"/>
            <w:r w:rsidRPr="00E002A5">
              <w:rPr>
                <w:rFonts w:ascii="Calibri" w:hAnsi="Calibri" w:cs="Calibri"/>
                <w:sz w:val="22"/>
                <w:szCs w:val="22"/>
              </w:rPr>
              <w:t>odprowadzeń</w:t>
            </w:r>
            <w:proofErr w:type="spellEnd"/>
            <w:r w:rsidRPr="00E002A5">
              <w:rPr>
                <w:rFonts w:ascii="Calibri" w:hAnsi="Calibri" w:cs="Calibri"/>
                <w:sz w:val="22"/>
                <w:szCs w:val="22"/>
              </w:rPr>
              <w:t xml:space="preserve"> jednocześnie. </w:t>
            </w:r>
          </w:p>
          <w:p w14:paraId="1C5A2F26" w14:textId="77777777" w:rsidR="00E002A5" w:rsidRPr="00E002A5" w:rsidRDefault="00E002A5" w:rsidP="003B2E29">
            <w:pPr>
              <w:rPr>
                <w:rFonts w:ascii="Calibri" w:hAnsi="Calibri" w:cs="Calibri"/>
                <w:sz w:val="22"/>
                <w:szCs w:val="22"/>
              </w:rPr>
            </w:pPr>
            <w:r w:rsidRPr="00E002A5">
              <w:rPr>
                <w:rFonts w:ascii="Calibri" w:hAnsi="Calibri" w:cs="Calibri"/>
                <w:sz w:val="22"/>
                <w:szCs w:val="22"/>
              </w:rPr>
              <w:t>W komplecie z monitorem: przewód EKG z kompletem 5 końcówek.</w:t>
            </w:r>
          </w:p>
        </w:tc>
        <w:tc>
          <w:tcPr>
            <w:tcW w:w="1984" w:type="dxa"/>
            <w:tcBorders>
              <w:top w:val="single" w:sz="6" w:space="0" w:color="7F7F7F"/>
              <w:left w:val="single" w:sz="6" w:space="0" w:color="7F7F7F"/>
              <w:bottom w:val="single" w:sz="6" w:space="0" w:color="7F7F7F"/>
              <w:right w:val="single" w:sz="6" w:space="0" w:color="7F7F7F"/>
            </w:tcBorders>
          </w:tcPr>
          <w:p w14:paraId="4ACF8CF6" w14:textId="1A406ADB" w:rsidR="00E002A5" w:rsidRPr="00E002A5" w:rsidRDefault="006F3102" w:rsidP="006F3102">
            <w:pPr>
              <w:jc w:val="center"/>
              <w:rPr>
                <w:rFonts w:ascii="Calibri" w:hAnsi="Calibri" w:cs="Calibri"/>
                <w:sz w:val="22"/>
                <w:szCs w:val="22"/>
              </w:rPr>
            </w:pPr>
            <w:r>
              <w:rPr>
                <w:rFonts w:ascii="Calibri" w:hAnsi="Calibri" w:cs="Calibri"/>
                <w:sz w:val="22"/>
                <w:szCs w:val="22"/>
              </w:rPr>
              <w:t>TAK, PODAĆ</w:t>
            </w:r>
          </w:p>
        </w:tc>
        <w:tc>
          <w:tcPr>
            <w:tcW w:w="1992" w:type="dxa"/>
            <w:tcBorders>
              <w:top w:val="single" w:sz="6" w:space="0" w:color="7F7F7F"/>
              <w:left w:val="single" w:sz="6" w:space="0" w:color="7F7F7F"/>
              <w:bottom w:val="single" w:sz="6" w:space="0" w:color="7F7F7F"/>
              <w:right w:val="single" w:sz="6" w:space="0" w:color="7F7F7F"/>
            </w:tcBorders>
          </w:tcPr>
          <w:p w14:paraId="175F9023" w14:textId="77777777" w:rsidR="00E002A5" w:rsidRPr="00E002A5" w:rsidRDefault="00E002A5" w:rsidP="003B2E29">
            <w:pPr>
              <w:rPr>
                <w:rFonts w:ascii="Calibri" w:hAnsi="Calibri" w:cs="Calibri"/>
                <w:sz w:val="22"/>
                <w:szCs w:val="22"/>
              </w:rPr>
            </w:pPr>
          </w:p>
        </w:tc>
      </w:tr>
      <w:tr w:rsidR="00E002A5" w:rsidRPr="00E002A5" w14:paraId="0A401BFC"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73D14CF8" w14:textId="77777777" w:rsidR="00E002A5" w:rsidRPr="00E002A5" w:rsidRDefault="00E002A5" w:rsidP="00E002A5">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3F82AB52" w14:textId="77777777" w:rsidR="00E002A5" w:rsidRPr="00E002A5" w:rsidRDefault="00E002A5" w:rsidP="003B2E29">
            <w:pPr>
              <w:rPr>
                <w:rFonts w:ascii="Calibri" w:hAnsi="Calibri" w:cs="Calibri"/>
                <w:sz w:val="22"/>
                <w:szCs w:val="22"/>
              </w:rPr>
            </w:pPr>
            <w:r w:rsidRPr="00E002A5">
              <w:rPr>
                <w:rFonts w:ascii="Calibri" w:hAnsi="Calibri" w:cs="Calibri"/>
                <w:sz w:val="22"/>
                <w:szCs w:val="22"/>
              </w:rPr>
              <w:t xml:space="preserve">Analiza arytmii – wykrywanie co najmniej 24 kategorie zaburzeń rytmu w tym VF, ASYS, BRADY, TACHY, AF. Wykorzystywanie do analizy EKG co najmniej 4 </w:t>
            </w:r>
            <w:proofErr w:type="spellStart"/>
            <w:r w:rsidRPr="00E002A5">
              <w:rPr>
                <w:rFonts w:ascii="Calibri" w:hAnsi="Calibri" w:cs="Calibri"/>
                <w:sz w:val="22"/>
                <w:szCs w:val="22"/>
              </w:rPr>
              <w:t>odprowadzeń</w:t>
            </w:r>
            <w:proofErr w:type="spellEnd"/>
            <w:r w:rsidRPr="00E002A5">
              <w:rPr>
                <w:rFonts w:ascii="Calibri" w:hAnsi="Calibri" w:cs="Calibri"/>
                <w:sz w:val="22"/>
                <w:szCs w:val="22"/>
              </w:rPr>
              <w:t xml:space="preserve"> EKG jednocześnie. Możliwość wyboru odprowadzeni do analizy przez użytkownika.</w:t>
            </w:r>
          </w:p>
        </w:tc>
        <w:tc>
          <w:tcPr>
            <w:tcW w:w="1984" w:type="dxa"/>
            <w:tcBorders>
              <w:top w:val="single" w:sz="6" w:space="0" w:color="7F7F7F"/>
              <w:left w:val="single" w:sz="6" w:space="0" w:color="7F7F7F"/>
              <w:bottom w:val="single" w:sz="6" w:space="0" w:color="7F7F7F"/>
              <w:right w:val="single" w:sz="6" w:space="0" w:color="7F7F7F"/>
            </w:tcBorders>
          </w:tcPr>
          <w:p w14:paraId="12F351EB" w14:textId="1739ABAD" w:rsidR="00E002A5" w:rsidRPr="00E002A5" w:rsidRDefault="006F3102" w:rsidP="006F3102">
            <w:pPr>
              <w:jc w:val="center"/>
              <w:rPr>
                <w:rFonts w:ascii="Calibri" w:hAnsi="Calibri" w:cs="Calibri"/>
                <w:sz w:val="22"/>
                <w:szCs w:val="22"/>
              </w:rPr>
            </w:pPr>
            <w:r>
              <w:rPr>
                <w:rFonts w:ascii="Calibri" w:hAnsi="Calibri" w:cs="Calibri"/>
                <w:sz w:val="22"/>
                <w:szCs w:val="22"/>
              </w:rPr>
              <w:t>TAK, PODAĆ</w:t>
            </w:r>
          </w:p>
        </w:tc>
        <w:tc>
          <w:tcPr>
            <w:tcW w:w="1992" w:type="dxa"/>
            <w:tcBorders>
              <w:top w:val="single" w:sz="6" w:space="0" w:color="7F7F7F"/>
              <w:left w:val="single" w:sz="6" w:space="0" w:color="7F7F7F"/>
              <w:bottom w:val="single" w:sz="6" w:space="0" w:color="7F7F7F"/>
              <w:right w:val="single" w:sz="6" w:space="0" w:color="7F7F7F"/>
            </w:tcBorders>
          </w:tcPr>
          <w:p w14:paraId="1B9A51C8" w14:textId="77777777" w:rsidR="00E002A5" w:rsidRPr="00E002A5" w:rsidRDefault="00E002A5" w:rsidP="003B2E29">
            <w:pPr>
              <w:rPr>
                <w:rFonts w:ascii="Calibri" w:hAnsi="Calibri" w:cs="Calibri"/>
                <w:sz w:val="22"/>
                <w:szCs w:val="22"/>
              </w:rPr>
            </w:pPr>
          </w:p>
        </w:tc>
      </w:tr>
      <w:tr w:rsidR="00E002A5" w:rsidRPr="00E002A5" w14:paraId="63721FED"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587E3A1C" w14:textId="77777777" w:rsidR="00E002A5" w:rsidRPr="00E002A5" w:rsidRDefault="00E002A5" w:rsidP="00E002A5">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7D881A69" w14:textId="77777777" w:rsidR="00E002A5" w:rsidRPr="00E002A5" w:rsidRDefault="00E002A5" w:rsidP="003B2E29">
            <w:pPr>
              <w:rPr>
                <w:rFonts w:ascii="Calibri" w:hAnsi="Calibri" w:cs="Calibri"/>
                <w:sz w:val="22"/>
                <w:szCs w:val="22"/>
              </w:rPr>
            </w:pPr>
            <w:r w:rsidRPr="00E002A5">
              <w:rPr>
                <w:rFonts w:ascii="Calibri" w:hAnsi="Calibri" w:cs="Calibri"/>
                <w:sz w:val="22"/>
                <w:szCs w:val="22"/>
              </w:rPr>
              <w:t xml:space="preserve">Analiza odcinka ST – jednoczesny pomiar odchylenia odcinka ST w siedmiu </w:t>
            </w:r>
            <w:proofErr w:type="spellStart"/>
            <w:r w:rsidRPr="00E002A5">
              <w:rPr>
                <w:rFonts w:ascii="Calibri" w:hAnsi="Calibri" w:cs="Calibri"/>
                <w:sz w:val="22"/>
                <w:szCs w:val="22"/>
              </w:rPr>
              <w:t>odprowadzeniach</w:t>
            </w:r>
            <w:proofErr w:type="spellEnd"/>
            <w:r w:rsidRPr="00E002A5">
              <w:rPr>
                <w:rFonts w:ascii="Calibri" w:hAnsi="Calibri" w:cs="Calibri"/>
                <w:sz w:val="22"/>
                <w:szCs w:val="22"/>
              </w:rPr>
              <w:t xml:space="preserve"> w zakresie co najmniej od -2,0 do +2,0 </w:t>
            </w:r>
            <w:proofErr w:type="spellStart"/>
            <w:r w:rsidRPr="00E002A5">
              <w:rPr>
                <w:rFonts w:ascii="Calibri" w:hAnsi="Calibri" w:cs="Calibri"/>
                <w:sz w:val="22"/>
                <w:szCs w:val="22"/>
              </w:rPr>
              <w:t>mV</w:t>
            </w:r>
            <w:proofErr w:type="spellEnd"/>
            <w:r w:rsidRPr="00E002A5">
              <w:rPr>
                <w:rFonts w:ascii="Calibri" w:hAnsi="Calibri" w:cs="Calibri"/>
                <w:sz w:val="22"/>
                <w:szCs w:val="22"/>
              </w:rPr>
              <w:t xml:space="preserve">. Prezentacja zmian odchylenia ST w postaci wzorcowych odcinków ST z nanoszonymi na nie </w:t>
            </w:r>
            <w:proofErr w:type="gramStart"/>
            <w:r w:rsidRPr="00E002A5">
              <w:rPr>
                <w:rFonts w:ascii="Calibri" w:hAnsi="Calibri" w:cs="Calibri"/>
                <w:sz w:val="22"/>
                <w:szCs w:val="22"/>
              </w:rPr>
              <w:t>bieżącymi  odcinkami</w:t>
            </w:r>
            <w:proofErr w:type="gramEnd"/>
            <w:r w:rsidRPr="00E002A5">
              <w:rPr>
                <w:rFonts w:ascii="Calibri" w:hAnsi="Calibri" w:cs="Calibri"/>
                <w:sz w:val="22"/>
                <w:szCs w:val="22"/>
              </w:rPr>
              <w:t xml:space="preserve">.  Tryb alarmowania ST w oparciu wartości bezwzględne oraz względne w stosunku do linii odniesienia. </w:t>
            </w:r>
          </w:p>
        </w:tc>
        <w:tc>
          <w:tcPr>
            <w:tcW w:w="1984" w:type="dxa"/>
            <w:tcBorders>
              <w:top w:val="single" w:sz="6" w:space="0" w:color="7F7F7F"/>
              <w:left w:val="single" w:sz="6" w:space="0" w:color="7F7F7F"/>
              <w:bottom w:val="single" w:sz="6" w:space="0" w:color="7F7F7F"/>
              <w:right w:val="single" w:sz="6" w:space="0" w:color="7F7F7F"/>
            </w:tcBorders>
          </w:tcPr>
          <w:p w14:paraId="696A30F8" w14:textId="3EC94CD3" w:rsidR="00E002A5" w:rsidRPr="00E002A5" w:rsidRDefault="006F3102" w:rsidP="006F3102">
            <w:pPr>
              <w:jc w:val="center"/>
              <w:rPr>
                <w:rFonts w:ascii="Calibri" w:hAnsi="Calibri" w:cs="Calibri"/>
                <w:sz w:val="22"/>
                <w:szCs w:val="22"/>
              </w:rPr>
            </w:pPr>
            <w:r>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29E5797B" w14:textId="77777777" w:rsidR="00E002A5" w:rsidRPr="00E002A5" w:rsidRDefault="00E002A5" w:rsidP="003B2E29">
            <w:pPr>
              <w:rPr>
                <w:rFonts w:ascii="Calibri" w:hAnsi="Calibri" w:cs="Calibri"/>
                <w:sz w:val="22"/>
                <w:szCs w:val="22"/>
              </w:rPr>
            </w:pPr>
          </w:p>
        </w:tc>
      </w:tr>
      <w:tr w:rsidR="00E002A5" w:rsidRPr="00E002A5" w14:paraId="74981603"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2C3FA270" w14:textId="77777777" w:rsidR="00E002A5" w:rsidRPr="00E002A5" w:rsidRDefault="00E002A5" w:rsidP="00E002A5">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20476646" w14:textId="77777777" w:rsidR="00E002A5" w:rsidRPr="00E002A5" w:rsidRDefault="00E002A5" w:rsidP="003B2E29">
            <w:pPr>
              <w:rPr>
                <w:rFonts w:ascii="Calibri" w:hAnsi="Calibri" w:cs="Calibri"/>
                <w:sz w:val="22"/>
                <w:szCs w:val="22"/>
              </w:rPr>
            </w:pPr>
            <w:r w:rsidRPr="00E002A5">
              <w:rPr>
                <w:rFonts w:ascii="Calibri" w:hAnsi="Calibri" w:cs="Calibri"/>
                <w:sz w:val="22"/>
                <w:szCs w:val="22"/>
              </w:rPr>
              <w:t xml:space="preserve">Analiza zmian odcinka QT oraz obliczanie wartości </w:t>
            </w:r>
            <w:proofErr w:type="spellStart"/>
            <w:r w:rsidRPr="00E002A5">
              <w:rPr>
                <w:rFonts w:ascii="Calibri" w:hAnsi="Calibri" w:cs="Calibri"/>
                <w:sz w:val="22"/>
                <w:szCs w:val="22"/>
              </w:rPr>
              <w:t>QTc</w:t>
            </w:r>
            <w:proofErr w:type="spellEnd"/>
            <w:r w:rsidRPr="00E002A5">
              <w:rPr>
                <w:rFonts w:ascii="Calibri" w:hAnsi="Calibri" w:cs="Calibri"/>
                <w:sz w:val="22"/>
                <w:szCs w:val="22"/>
              </w:rPr>
              <w:t xml:space="preserve"> wg. co najmniej 4 wzorów</w:t>
            </w:r>
          </w:p>
        </w:tc>
        <w:tc>
          <w:tcPr>
            <w:tcW w:w="1984" w:type="dxa"/>
            <w:tcBorders>
              <w:top w:val="single" w:sz="6" w:space="0" w:color="7F7F7F"/>
              <w:left w:val="single" w:sz="6" w:space="0" w:color="7F7F7F"/>
              <w:bottom w:val="single" w:sz="6" w:space="0" w:color="7F7F7F"/>
              <w:right w:val="single" w:sz="6" w:space="0" w:color="7F7F7F"/>
            </w:tcBorders>
          </w:tcPr>
          <w:p w14:paraId="6E2B5F1F" w14:textId="77777777" w:rsidR="00E002A5" w:rsidRPr="00E002A5" w:rsidRDefault="00E002A5" w:rsidP="006F3102">
            <w:pPr>
              <w:jc w:val="center"/>
              <w:rPr>
                <w:rFonts w:ascii="Calibri" w:hAnsi="Calibri" w:cs="Calibri"/>
                <w:sz w:val="22"/>
                <w:szCs w:val="22"/>
              </w:rPr>
            </w:pPr>
          </w:p>
        </w:tc>
        <w:tc>
          <w:tcPr>
            <w:tcW w:w="1992" w:type="dxa"/>
            <w:tcBorders>
              <w:top w:val="single" w:sz="6" w:space="0" w:color="7F7F7F"/>
              <w:left w:val="single" w:sz="6" w:space="0" w:color="7F7F7F"/>
              <w:bottom w:val="single" w:sz="6" w:space="0" w:color="7F7F7F"/>
              <w:right w:val="single" w:sz="6" w:space="0" w:color="7F7F7F"/>
            </w:tcBorders>
          </w:tcPr>
          <w:p w14:paraId="10ED2459" w14:textId="77777777" w:rsidR="00E002A5" w:rsidRPr="00E002A5" w:rsidRDefault="00E002A5" w:rsidP="003B2E29">
            <w:pPr>
              <w:rPr>
                <w:rFonts w:ascii="Calibri" w:hAnsi="Calibri" w:cs="Calibri"/>
                <w:sz w:val="22"/>
                <w:szCs w:val="22"/>
              </w:rPr>
            </w:pPr>
          </w:p>
        </w:tc>
      </w:tr>
      <w:tr w:rsidR="00E002A5" w:rsidRPr="00E002A5" w14:paraId="6C3A635F"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09916D53" w14:textId="77777777" w:rsidR="00E002A5" w:rsidRPr="00E002A5" w:rsidRDefault="00E002A5" w:rsidP="00E002A5">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2B1BC2C6" w14:textId="77777777" w:rsidR="00E002A5" w:rsidRPr="00E002A5" w:rsidRDefault="00E002A5" w:rsidP="003B2E29">
            <w:pPr>
              <w:rPr>
                <w:rFonts w:ascii="Calibri" w:hAnsi="Calibri" w:cs="Calibri"/>
                <w:sz w:val="22"/>
                <w:szCs w:val="22"/>
              </w:rPr>
            </w:pPr>
            <w:r w:rsidRPr="00E002A5">
              <w:rPr>
                <w:rFonts w:ascii="Calibri" w:hAnsi="Calibri" w:cs="Calibri"/>
                <w:sz w:val="22"/>
                <w:szCs w:val="22"/>
              </w:rPr>
              <w:t>RESP – pomiar częstości oddechu metodą impedancyjną. Zakres pomiarowy częstości oddechu co najmniej od 5 do 200 R/min. Możliwość wyboru odprowadzeni do monitorowania respiracji. Wybór prędkości przesuwu krzywych co najmniej 3; 6.25; 12,5; 25 mm/s.</w:t>
            </w:r>
          </w:p>
        </w:tc>
        <w:tc>
          <w:tcPr>
            <w:tcW w:w="1984" w:type="dxa"/>
            <w:tcBorders>
              <w:top w:val="single" w:sz="6" w:space="0" w:color="7F7F7F"/>
              <w:left w:val="single" w:sz="6" w:space="0" w:color="7F7F7F"/>
              <w:bottom w:val="single" w:sz="6" w:space="0" w:color="7F7F7F"/>
              <w:right w:val="single" w:sz="6" w:space="0" w:color="7F7F7F"/>
            </w:tcBorders>
          </w:tcPr>
          <w:p w14:paraId="630BF38E" w14:textId="4231610C" w:rsidR="00E002A5" w:rsidRPr="00E002A5" w:rsidRDefault="006F3102" w:rsidP="006F3102">
            <w:pPr>
              <w:jc w:val="center"/>
              <w:rPr>
                <w:rFonts w:ascii="Calibri" w:hAnsi="Calibri" w:cs="Calibri"/>
                <w:sz w:val="22"/>
                <w:szCs w:val="22"/>
              </w:rPr>
            </w:pPr>
            <w:r>
              <w:rPr>
                <w:rFonts w:ascii="Calibri" w:hAnsi="Calibri" w:cs="Calibri"/>
                <w:sz w:val="22"/>
                <w:szCs w:val="22"/>
              </w:rPr>
              <w:t>TAK, PODAĆ</w:t>
            </w:r>
          </w:p>
        </w:tc>
        <w:tc>
          <w:tcPr>
            <w:tcW w:w="1992" w:type="dxa"/>
            <w:tcBorders>
              <w:top w:val="single" w:sz="6" w:space="0" w:color="7F7F7F"/>
              <w:left w:val="single" w:sz="6" w:space="0" w:color="7F7F7F"/>
              <w:bottom w:val="single" w:sz="6" w:space="0" w:color="7F7F7F"/>
              <w:right w:val="single" w:sz="6" w:space="0" w:color="7F7F7F"/>
            </w:tcBorders>
          </w:tcPr>
          <w:p w14:paraId="5C8B6F51" w14:textId="77777777" w:rsidR="00E002A5" w:rsidRPr="00E002A5" w:rsidRDefault="00E002A5" w:rsidP="003B2E29">
            <w:pPr>
              <w:rPr>
                <w:rFonts w:ascii="Calibri" w:hAnsi="Calibri" w:cs="Calibri"/>
                <w:sz w:val="22"/>
                <w:szCs w:val="22"/>
              </w:rPr>
            </w:pPr>
          </w:p>
        </w:tc>
      </w:tr>
      <w:tr w:rsidR="006F3102" w:rsidRPr="00E002A5" w14:paraId="55AB294D"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17031166"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6BBF4075"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 xml:space="preserve">Saturacja (SpO2). Zakres pomiarowy %SpO2 0-100%. Zakres pomiarowy częstości pulsu co najmniej 30-300 P/min. Jednoczesne wyświetlanie krzywej </w:t>
            </w:r>
            <w:proofErr w:type="spellStart"/>
            <w:r w:rsidRPr="00E002A5">
              <w:rPr>
                <w:rFonts w:ascii="Calibri" w:hAnsi="Calibri" w:cs="Calibri"/>
                <w:sz w:val="22"/>
                <w:szCs w:val="22"/>
              </w:rPr>
              <w:t>pletyzmograficznej</w:t>
            </w:r>
            <w:proofErr w:type="spellEnd"/>
            <w:r w:rsidRPr="00E002A5">
              <w:rPr>
                <w:rFonts w:ascii="Calibri" w:hAnsi="Calibri" w:cs="Calibri"/>
                <w:sz w:val="22"/>
                <w:szCs w:val="22"/>
              </w:rPr>
              <w:t xml:space="preserve"> oraz wartości %saturacji, częstości pulsu i wskaźnika perfuzji. Alarm </w:t>
            </w:r>
            <w:proofErr w:type="spellStart"/>
            <w:r w:rsidRPr="00E002A5">
              <w:rPr>
                <w:rFonts w:ascii="Calibri" w:hAnsi="Calibri" w:cs="Calibri"/>
                <w:sz w:val="22"/>
                <w:szCs w:val="22"/>
              </w:rPr>
              <w:t>desaturacji</w:t>
            </w:r>
            <w:proofErr w:type="spellEnd"/>
            <w:r w:rsidRPr="00E002A5">
              <w:rPr>
                <w:rFonts w:ascii="Calibri" w:hAnsi="Calibri" w:cs="Calibri"/>
                <w:sz w:val="22"/>
                <w:szCs w:val="22"/>
              </w:rPr>
              <w:t xml:space="preserve">. Wyświetlanie statystyk pomiaru SpO2 w postaci wykresów słupkowych. W komplecie z </w:t>
            </w:r>
            <w:proofErr w:type="gramStart"/>
            <w:r w:rsidRPr="00E002A5">
              <w:rPr>
                <w:rFonts w:ascii="Calibri" w:hAnsi="Calibri" w:cs="Calibri"/>
                <w:sz w:val="22"/>
                <w:szCs w:val="22"/>
              </w:rPr>
              <w:t>monitorem  przewód</w:t>
            </w:r>
            <w:proofErr w:type="gramEnd"/>
            <w:r w:rsidRPr="00E002A5">
              <w:rPr>
                <w:rFonts w:ascii="Calibri" w:hAnsi="Calibri" w:cs="Calibri"/>
                <w:sz w:val="22"/>
                <w:szCs w:val="22"/>
              </w:rPr>
              <w:t xml:space="preserve"> interfejsowy oraz wielorazowy czujnik SpO2 typu klips na palec.</w:t>
            </w:r>
          </w:p>
        </w:tc>
        <w:tc>
          <w:tcPr>
            <w:tcW w:w="1984" w:type="dxa"/>
            <w:tcBorders>
              <w:top w:val="single" w:sz="6" w:space="0" w:color="7F7F7F"/>
              <w:left w:val="single" w:sz="6" w:space="0" w:color="7F7F7F"/>
              <w:bottom w:val="single" w:sz="6" w:space="0" w:color="7F7F7F"/>
              <w:right w:val="single" w:sz="6" w:space="0" w:color="7F7F7F"/>
            </w:tcBorders>
          </w:tcPr>
          <w:p w14:paraId="2318B082" w14:textId="62B12EDA" w:rsidR="006F3102" w:rsidRPr="00E002A5" w:rsidRDefault="006F3102" w:rsidP="006F3102">
            <w:pPr>
              <w:jc w:val="center"/>
              <w:rPr>
                <w:rFonts w:ascii="Calibri" w:hAnsi="Calibri" w:cs="Calibri"/>
                <w:sz w:val="22"/>
                <w:szCs w:val="22"/>
              </w:rPr>
            </w:pPr>
            <w:r w:rsidRPr="00EA74FE">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05382334" w14:textId="77777777" w:rsidR="006F3102" w:rsidRPr="00E002A5" w:rsidRDefault="006F3102" w:rsidP="006F3102">
            <w:pPr>
              <w:rPr>
                <w:rFonts w:ascii="Calibri" w:hAnsi="Calibri" w:cs="Calibri"/>
                <w:sz w:val="22"/>
                <w:szCs w:val="22"/>
              </w:rPr>
            </w:pPr>
          </w:p>
        </w:tc>
      </w:tr>
      <w:tr w:rsidR="006F3102" w:rsidRPr="00E002A5" w14:paraId="03A15118"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225C5DA5"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4C814148"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 xml:space="preserve">Nieinwazyjny pomiar ciśnienia (NIPC) metodą oscylometryczną. Pomiar ręczny, automatyczny, ciągły (powtarzające się pomiary w czasie 5 min). Pomiar automatyczny z regulowanym interwałem co najmniej 1 – 480 minut. Wyświetlanie na ekranie wartości ustawionego interwału oraz czasu jaki pozostał do kolejnego pomiaru. Pomiar sekwencyjny z co najmniej 5 programowalnymi cyklami, z indywidualnym ustawianiem ich czasu trwania i odstępów pomiarowych dla każdego cyklu.  Prezentacja wartości: skurczowej, rozkurczowej oraz średniej. Możliwość ustawiania przez użytkownika formatu wyświetlanych danych np. ciśnienie skurczowe, rozkurczowe i średnie lub tylko średnie. Funkcja </w:t>
            </w:r>
            <w:proofErr w:type="spellStart"/>
            <w:r w:rsidRPr="00E002A5">
              <w:rPr>
                <w:rFonts w:ascii="Calibri" w:hAnsi="Calibri" w:cs="Calibri"/>
                <w:sz w:val="22"/>
                <w:szCs w:val="22"/>
              </w:rPr>
              <w:t>stazy</w:t>
            </w:r>
            <w:proofErr w:type="spellEnd"/>
            <w:r w:rsidRPr="00E002A5">
              <w:rPr>
                <w:rFonts w:ascii="Calibri" w:hAnsi="Calibri" w:cs="Calibri"/>
                <w:sz w:val="22"/>
                <w:szCs w:val="22"/>
              </w:rPr>
              <w:t>. Funkcja wstępnego ustawiania ciśnienia pompowania mankietu. Pomiar częstości pulsu wraz z nieinwazyjnym ciśnieniem co najmniej w zakresie od 30 do 300 P/min. W komplecie z każdym monitorem przewód oraz mankiet średni.</w:t>
            </w:r>
          </w:p>
        </w:tc>
        <w:tc>
          <w:tcPr>
            <w:tcW w:w="1984" w:type="dxa"/>
            <w:tcBorders>
              <w:top w:val="single" w:sz="6" w:space="0" w:color="7F7F7F"/>
              <w:left w:val="single" w:sz="6" w:space="0" w:color="7F7F7F"/>
              <w:bottom w:val="single" w:sz="6" w:space="0" w:color="7F7F7F"/>
              <w:right w:val="single" w:sz="6" w:space="0" w:color="7F7F7F"/>
            </w:tcBorders>
          </w:tcPr>
          <w:p w14:paraId="15B245CB" w14:textId="425F4BF8" w:rsidR="006F3102" w:rsidRPr="00E002A5" w:rsidRDefault="006F3102" w:rsidP="006F3102">
            <w:pPr>
              <w:jc w:val="center"/>
              <w:rPr>
                <w:rFonts w:ascii="Calibri" w:hAnsi="Calibri" w:cs="Calibri"/>
                <w:sz w:val="22"/>
                <w:szCs w:val="22"/>
              </w:rPr>
            </w:pPr>
            <w:r w:rsidRPr="00EA74FE">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732C4007" w14:textId="77777777" w:rsidR="006F3102" w:rsidRPr="00E002A5" w:rsidRDefault="006F3102" w:rsidP="006F3102">
            <w:pPr>
              <w:rPr>
                <w:rFonts w:ascii="Calibri" w:hAnsi="Calibri" w:cs="Calibri"/>
                <w:sz w:val="22"/>
                <w:szCs w:val="22"/>
              </w:rPr>
            </w:pPr>
          </w:p>
        </w:tc>
      </w:tr>
      <w:tr w:rsidR="00E002A5" w:rsidRPr="00E002A5" w14:paraId="44AA45C5"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5EB0C5A2" w14:textId="77777777" w:rsidR="00E002A5" w:rsidRPr="00E002A5" w:rsidRDefault="00E002A5" w:rsidP="00E002A5">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3E9AAF5E" w14:textId="77777777" w:rsidR="00E002A5" w:rsidRPr="00E002A5" w:rsidRDefault="00E002A5" w:rsidP="003B2E29">
            <w:pPr>
              <w:rPr>
                <w:rFonts w:ascii="Calibri" w:hAnsi="Calibri" w:cs="Calibri"/>
                <w:sz w:val="22"/>
                <w:szCs w:val="22"/>
              </w:rPr>
            </w:pPr>
            <w:r w:rsidRPr="00E002A5">
              <w:rPr>
                <w:rFonts w:ascii="Calibri" w:hAnsi="Calibri" w:cs="Calibri"/>
                <w:sz w:val="22"/>
                <w:szCs w:val="22"/>
              </w:rPr>
              <w:t>Pomiar temperatury, dwa tory pomiarowe. Zakres pomiarowy co najmniej od 5 do 50</w:t>
            </w:r>
            <w:r w:rsidRPr="00E002A5">
              <w:rPr>
                <w:rFonts w:ascii="Calibri" w:hAnsi="Calibri" w:cs="Calibri"/>
                <w:sz w:val="22"/>
                <w:szCs w:val="22"/>
                <w:vertAlign w:val="superscript"/>
              </w:rPr>
              <w:t>o</w:t>
            </w:r>
            <w:r w:rsidRPr="00E002A5">
              <w:rPr>
                <w:rFonts w:ascii="Calibri" w:hAnsi="Calibri" w:cs="Calibri"/>
                <w:sz w:val="22"/>
                <w:szCs w:val="22"/>
              </w:rPr>
              <w:t xml:space="preserve">C. Wyświetlanie T1, T2 oraz różnicy między nimi. Wybór </w:t>
            </w:r>
            <w:proofErr w:type="gramStart"/>
            <w:r w:rsidRPr="00E002A5">
              <w:rPr>
                <w:rFonts w:ascii="Calibri" w:hAnsi="Calibri" w:cs="Calibri"/>
                <w:sz w:val="22"/>
                <w:szCs w:val="22"/>
              </w:rPr>
              <w:t>etykiety  temperatury</w:t>
            </w:r>
            <w:proofErr w:type="gramEnd"/>
            <w:r w:rsidRPr="00E002A5">
              <w:rPr>
                <w:rFonts w:ascii="Calibri" w:hAnsi="Calibri" w:cs="Calibri"/>
                <w:sz w:val="22"/>
                <w:szCs w:val="22"/>
              </w:rPr>
              <w:t xml:space="preserve"> zgodnie z miejscem pomiaru z listy co najmniej 10 etykiet zapisanych w pamięci monitora. Możliwość rozbudowy monitora o co najmniej kolejne 4 tory pomiarowe temperatury.</w:t>
            </w:r>
          </w:p>
        </w:tc>
        <w:tc>
          <w:tcPr>
            <w:tcW w:w="1984" w:type="dxa"/>
            <w:tcBorders>
              <w:top w:val="single" w:sz="6" w:space="0" w:color="7F7F7F"/>
              <w:left w:val="single" w:sz="6" w:space="0" w:color="7F7F7F"/>
              <w:bottom w:val="single" w:sz="6" w:space="0" w:color="7F7F7F"/>
              <w:right w:val="single" w:sz="6" w:space="0" w:color="7F7F7F"/>
            </w:tcBorders>
          </w:tcPr>
          <w:p w14:paraId="4F4688FB" w14:textId="5CF23CB6" w:rsidR="00E002A5" w:rsidRPr="00E002A5" w:rsidRDefault="006F3102" w:rsidP="006F3102">
            <w:pPr>
              <w:jc w:val="center"/>
              <w:rPr>
                <w:rFonts w:ascii="Calibri" w:hAnsi="Calibri" w:cs="Calibri"/>
                <w:sz w:val="22"/>
                <w:szCs w:val="22"/>
              </w:rPr>
            </w:pPr>
            <w:r>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6001EB3C" w14:textId="77777777" w:rsidR="00E002A5" w:rsidRPr="00E002A5" w:rsidRDefault="00E002A5" w:rsidP="003B2E29">
            <w:pPr>
              <w:rPr>
                <w:rFonts w:ascii="Calibri" w:hAnsi="Calibri" w:cs="Calibri"/>
                <w:sz w:val="22"/>
                <w:szCs w:val="22"/>
              </w:rPr>
            </w:pPr>
          </w:p>
        </w:tc>
      </w:tr>
      <w:tr w:rsidR="006F3102" w:rsidRPr="00E002A5" w14:paraId="158B0916"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534382C3"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5FFC57C4"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 xml:space="preserve">Inwazyjny pomiar ciśnienia(IPC), dwa tory pomiarowe. Możliwość </w:t>
            </w:r>
            <w:proofErr w:type="gramStart"/>
            <w:r w:rsidRPr="00E002A5">
              <w:rPr>
                <w:rFonts w:ascii="Calibri" w:hAnsi="Calibri" w:cs="Calibri"/>
                <w:sz w:val="22"/>
                <w:szCs w:val="22"/>
              </w:rPr>
              <w:t>jednoczesnego  wyświetlanie</w:t>
            </w:r>
            <w:proofErr w:type="gramEnd"/>
            <w:r w:rsidRPr="00E002A5">
              <w:rPr>
                <w:rFonts w:ascii="Calibri" w:hAnsi="Calibri" w:cs="Calibri"/>
                <w:sz w:val="22"/>
                <w:szCs w:val="22"/>
              </w:rPr>
              <w:t xml:space="preserve"> dwóch krzywych inwazyjnego ciśnienia ze wspólnym poziomem zero (nakładanie się krzywych). Wyświetlanie wartości ciśnień skurczowych, rozkurczowych i średnich. Zakres pomiarowy inwazyjnego ciśnienia co najmniej od -50 do +350 mmHg. Możliwość ustawiania przez użytkownika formatu wyświetlanych danych np. ciśnienie skurczowe, rozkurczowe i średnie lub tylko średnie. Obliczanie wartości PPV. Funkcja pomiaru PAWP. Pomiar częstości pulsu wraz z inwazyjnym ciśnieniem co najmniej w zakresie od 30 do 300 P/min. Wybór </w:t>
            </w:r>
            <w:proofErr w:type="gramStart"/>
            <w:r w:rsidRPr="00E002A5">
              <w:rPr>
                <w:rFonts w:ascii="Calibri" w:hAnsi="Calibri" w:cs="Calibri"/>
                <w:sz w:val="22"/>
                <w:szCs w:val="22"/>
              </w:rPr>
              <w:t>etykiety  inwazyjnego</w:t>
            </w:r>
            <w:proofErr w:type="gramEnd"/>
            <w:r w:rsidRPr="00E002A5">
              <w:rPr>
                <w:rFonts w:ascii="Calibri" w:hAnsi="Calibri" w:cs="Calibri"/>
                <w:sz w:val="22"/>
                <w:szCs w:val="22"/>
              </w:rPr>
              <w:t xml:space="preserve"> ciśnienia zgodnie z miejscem pomiaru z listy co najmniej 10 etykiet zapisanych w pamięci monitora. Automatyczny wybór zakres pomiarowego w zależności od wybranej etykiety oraz możliwość ręcznego wyboru zakresu pomiarowego. Możliwość rozbudowy monitora o co najmniej kolejne 4 tory pomiarowe inwazyjnego ciśnienia. W zestawie przewód wielorazowy do podłączenia przetworników ciśnienia.</w:t>
            </w:r>
          </w:p>
        </w:tc>
        <w:tc>
          <w:tcPr>
            <w:tcW w:w="1984" w:type="dxa"/>
            <w:tcBorders>
              <w:top w:val="single" w:sz="6" w:space="0" w:color="7F7F7F"/>
              <w:left w:val="single" w:sz="6" w:space="0" w:color="7F7F7F"/>
              <w:bottom w:val="single" w:sz="6" w:space="0" w:color="7F7F7F"/>
              <w:right w:val="single" w:sz="6" w:space="0" w:color="7F7F7F"/>
            </w:tcBorders>
          </w:tcPr>
          <w:p w14:paraId="6EBFEDBD" w14:textId="5AB36D16" w:rsidR="006F3102" w:rsidRPr="00E002A5" w:rsidRDefault="006F3102" w:rsidP="006F3102">
            <w:pPr>
              <w:jc w:val="center"/>
              <w:rPr>
                <w:rFonts w:ascii="Calibri" w:hAnsi="Calibri" w:cs="Calibri"/>
                <w:sz w:val="22"/>
                <w:szCs w:val="22"/>
              </w:rPr>
            </w:pPr>
            <w:r w:rsidRPr="00E21AD8">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54106F4F" w14:textId="77777777" w:rsidR="006F3102" w:rsidRPr="00E002A5" w:rsidRDefault="006F3102" w:rsidP="006F3102">
            <w:pPr>
              <w:rPr>
                <w:rFonts w:ascii="Calibri" w:hAnsi="Calibri" w:cs="Calibri"/>
                <w:sz w:val="22"/>
                <w:szCs w:val="22"/>
              </w:rPr>
            </w:pPr>
          </w:p>
        </w:tc>
      </w:tr>
      <w:tr w:rsidR="006F3102" w:rsidRPr="00E002A5" w14:paraId="4502EAD7"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11E84D3D"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17E7D223"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 xml:space="preserve">Moduł pomiaru kapnografii w strumieniu bocznym (na 7 stanowiskach). Możliwość przenoszenia modułu pomiędzy monitorami pacjenta bez udziału serwisu, obsługa i wyświetlanie danych na modułowym monitorze pacjenta. Zakres pomiarowy stężenia CO2 co najmniej od 0 do 120 mmHg. Zakres pomiarowy częstości oddechu co najmniej od 4 do 120 R/min. W komplecie z modułem 2 szt. akcesoriów do usuwania wilgoci z układu pomiarowego (pułapka wodna lub </w:t>
            </w:r>
            <w:proofErr w:type="spellStart"/>
            <w:r w:rsidRPr="00E002A5">
              <w:rPr>
                <w:rFonts w:ascii="Calibri" w:hAnsi="Calibri" w:cs="Calibri"/>
                <w:sz w:val="22"/>
                <w:szCs w:val="22"/>
              </w:rPr>
              <w:t>nafion</w:t>
            </w:r>
            <w:proofErr w:type="spellEnd"/>
            <w:r w:rsidRPr="00E002A5">
              <w:rPr>
                <w:rFonts w:ascii="Calibri" w:hAnsi="Calibri" w:cs="Calibri"/>
                <w:sz w:val="22"/>
                <w:szCs w:val="22"/>
              </w:rPr>
              <w:t xml:space="preserve"> w zależności od stosowanej technologii) oraz 5 szt. jednorazowych linii próbkujących.</w:t>
            </w:r>
          </w:p>
        </w:tc>
        <w:tc>
          <w:tcPr>
            <w:tcW w:w="1984" w:type="dxa"/>
            <w:tcBorders>
              <w:top w:val="single" w:sz="6" w:space="0" w:color="7F7F7F"/>
              <w:left w:val="single" w:sz="6" w:space="0" w:color="7F7F7F"/>
              <w:bottom w:val="single" w:sz="6" w:space="0" w:color="7F7F7F"/>
              <w:right w:val="single" w:sz="6" w:space="0" w:color="7F7F7F"/>
            </w:tcBorders>
          </w:tcPr>
          <w:p w14:paraId="33754C4D" w14:textId="306CDD1A" w:rsidR="006F3102" w:rsidRPr="00E002A5" w:rsidRDefault="006F3102" w:rsidP="006F3102">
            <w:pPr>
              <w:jc w:val="center"/>
              <w:rPr>
                <w:rFonts w:ascii="Calibri" w:hAnsi="Calibri" w:cs="Calibri"/>
                <w:sz w:val="22"/>
                <w:szCs w:val="22"/>
              </w:rPr>
            </w:pPr>
            <w:r w:rsidRPr="00E21AD8">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35FCF9AB" w14:textId="77777777" w:rsidR="006F3102" w:rsidRPr="00E002A5" w:rsidRDefault="006F3102" w:rsidP="006F3102">
            <w:pPr>
              <w:rPr>
                <w:rFonts w:ascii="Calibri" w:hAnsi="Calibri" w:cs="Calibri"/>
                <w:sz w:val="22"/>
                <w:szCs w:val="22"/>
              </w:rPr>
            </w:pPr>
          </w:p>
        </w:tc>
      </w:tr>
      <w:tr w:rsidR="006F3102" w:rsidRPr="00E002A5" w14:paraId="43B2B079"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1BF80C28"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15F70A0A"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Monitory wyposażone w funkcję obliczania parametrów objętościowych i metabolicznych. Obliczanie co najmniej: VCO2, MVCO2, VO2. MVO2, EE i RQ. Obsługa oraz wyświetlanie obliczonych parametrów na ekranie kardiomonitora i przesyłanie danych do centrali. Pomiar realizowany przy użyciu modułów oferowanego systemu monitorowania:</w:t>
            </w:r>
          </w:p>
          <w:p w14:paraId="4148DB41"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 xml:space="preserve"> </w:t>
            </w:r>
            <w:r w:rsidRPr="00E002A5">
              <w:rPr>
                <w:rFonts w:ascii="Calibri" w:hAnsi="Calibri" w:cs="Calibri"/>
                <w:b/>
                <w:bCs/>
                <w:sz w:val="22"/>
                <w:szCs w:val="22"/>
              </w:rPr>
              <w:t>- Moduł pomiaru kapnografii oraz stężenia tlenu (czujnik paramagnetyczny</w:t>
            </w:r>
            <w:r w:rsidRPr="00E002A5">
              <w:rPr>
                <w:rFonts w:ascii="Calibri" w:hAnsi="Calibri" w:cs="Calibri"/>
                <w:sz w:val="22"/>
                <w:szCs w:val="22"/>
              </w:rPr>
              <w:t>) (1 na 8 monitorów). Zakres pomiarowy stężenia CO2 co najmniej od 0 do 90 mmHg. Zakres pomiarowy stężenia tlenu od 0 do 100%. Zakres pomiarowy częstości oddechu co najmniej od 4 do 120 R/min.</w:t>
            </w:r>
          </w:p>
          <w:p w14:paraId="23101A3E"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 xml:space="preserve"> </w:t>
            </w:r>
            <w:r w:rsidRPr="00E002A5">
              <w:rPr>
                <w:rFonts w:ascii="Calibri" w:hAnsi="Calibri" w:cs="Calibri"/>
                <w:b/>
                <w:bCs/>
                <w:sz w:val="22"/>
                <w:szCs w:val="22"/>
              </w:rPr>
              <w:t xml:space="preserve">- Moduł mechaniki oddechowej (RM) </w:t>
            </w:r>
            <w:r w:rsidRPr="00E002A5">
              <w:rPr>
                <w:rFonts w:ascii="Calibri" w:hAnsi="Calibri" w:cs="Calibri"/>
                <w:sz w:val="22"/>
                <w:szCs w:val="22"/>
              </w:rPr>
              <w:t>(1 na 8 monitorów)</w:t>
            </w:r>
            <w:r w:rsidRPr="00E002A5">
              <w:rPr>
                <w:rFonts w:ascii="Calibri" w:hAnsi="Calibri" w:cs="Calibri"/>
                <w:b/>
                <w:bCs/>
                <w:sz w:val="22"/>
                <w:szCs w:val="22"/>
              </w:rPr>
              <w:t>.</w:t>
            </w:r>
            <w:r w:rsidRPr="00E002A5">
              <w:rPr>
                <w:rFonts w:ascii="Calibri" w:hAnsi="Calibri" w:cs="Calibri"/>
                <w:sz w:val="22"/>
                <w:szCs w:val="22"/>
              </w:rPr>
              <w:t xml:space="preserve"> Monitorowanie parametrów: Paw, przepływu oraz chwilowych i minutowych objętości, częstości oddechu. Obliczanie wartości: I:E, </w:t>
            </w:r>
            <w:proofErr w:type="spellStart"/>
            <w:r w:rsidRPr="00E002A5">
              <w:rPr>
                <w:rFonts w:ascii="Calibri" w:hAnsi="Calibri" w:cs="Calibri"/>
                <w:sz w:val="22"/>
                <w:szCs w:val="22"/>
              </w:rPr>
              <w:t>Pmean</w:t>
            </w:r>
            <w:proofErr w:type="spellEnd"/>
            <w:r w:rsidRPr="00E002A5">
              <w:rPr>
                <w:rFonts w:ascii="Calibri" w:hAnsi="Calibri" w:cs="Calibri"/>
                <w:sz w:val="22"/>
                <w:szCs w:val="22"/>
              </w:rPr>
              <w:t>, PIP, PEEP, PIF.</w:t>
            </w:r>
          </w:p>
          <w:p w14:paraId="3BCB76E5"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 xml:space="preserve">W komplecie zestaw akcesoriów pomiarowych: </w:t>
            </w:r>
          </w:p>
          <w:p w14:paraId="079CF5C7"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 co najmniej 5 akcesoriów do usuwania wilgoci z układu pomiarowego (</w:t>
            </w:r>
            <w:proofErr w:type="spellStart"/>
            <w:r w:rsidRPr="00E002A5">
              <w:rPr>
                <w:rFonts w:ascii="Calibri" w:hAnsi="Calibri" w:cs="Calibri"/>
                <w:sz w:val="22"/>
                <w:szCs w:val="22"/>
              </w:rPr>
              <w:t>nafion</w:t>
            </w:r>
            <w:proofErr w:type="spellEnd"/>
            <w:r w:rsidRPr="00E002A5">
              <w:rPr>
                <w:rFonts w:ascii="Calibri" w:hAnsi="Calibri" w:cs="Calibri"/>
                <w:sz w:val="22"/>
                <w:szCs w:val="22"/>
              </w:rPr>
              <w:t xml:space="preserve"> lub pułapka wodna – zależnie od użytej techniki), </w:t>
            </w:r>
          </w:p>
          <w:p w14:paraId="2B8D8AD1"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- 5 szt. jednorazowych linii próbkujących oraz 5 szt. jednorazowych czujników przepływu.</w:t>
            </w:r>
          </w:p>
        </w:tc>
        <w:tc>
          <w:tcPr>
            <w:tcW w:w="1984" w:type="dxa"/>
            <w:tcBorders>
              <w:top w:val="single" w:sz="6" w:space="0" w:color="7F7F7F"/>
              <w:left w:val="single" w:sz="6" w:space="0" w:color="7F7F7F"/>
              <w:bottom w:val="single" w:sz="6" w:space="0" w:color="7F7F7F"/>
              <w:right w:val="single" w:sz="6" w:space="0" w:color="7F7F7F"/>
            </w:tcBorders>
          </w:tcPr>
          <w:p w14:paraId="70133E41" w14:textId="5DC177F4" w:rsidR="006F3102" w:rsidRPr="00E002A5" w:rsidRDefault="006F3102" w:rsidP="006F3102">
            <w:pPr>
              <w:jc w:val="center"/>
              <w:rPr>
                <w:rFonts w:ascii="Calibri" w:hAnsi="Calibri" w:cs="Calibri"/>
                <w:sz w:val="22"/>
                <w:szCs w:val="22"/>
              </w:rPr>
            </w:pPr>
            <w:r w:rsidRPr="00FB3919">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2D4824A6" w14:textId="77777777" w:rsidR="006F3102" w:rsidRPr="00E002A5" w:rsidRDefault="006F3102" w:rsidP="006F3102">
            <w:pPr>
              <w:rPr>
                <w:rFonts w:ascii="Calibri" w:hAnsi="Calibri" w:cs="Calibri"/>
                <w:sz w:val="22"/>
                <w:szCs w:val="22"/>
              </w:rPr>
            </w:pPr>
          </w:p>
        </w:tc>
      </w:tr>
      <w:tr w:rsidR="006F3102" w:rsidRPr="00E002A5" w14:paraId="559729C1"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3928E654"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7118EC38"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Moduł pomiaru rzutu minutowego serca małoinwazyjną metodą wykorzystującą analizę kształtu fali tętna (</w:t>
            </w:r>
            <w:proofErr w:type="spellStart"/>
            <w:r w:rsidRPr="00E002A5">
              <w:rPr>
                <w:rFonts w:ascii="Calibri" w:hAnsi="Calibri" w:cs="Calibri"/>
                <w:sz w:val="22"/>
                <w:szCs w:val="22"/>
              </w:rPr>
              <w:t>PiCCO</w:t>
            </w:r>
            <w:proofErr w:type="spellEnd"/>
            <w:r w:rsidRPr="00E002A5">
              <w:rPr>
                <w:rFonts w:ascii="Calibri" w:hAnsi="Calibri" w:cs="Calibri"/>
                <w:sz w:val="22"/>
                <w:szCs w:val="22"/>
              </w:rPr>
              <w:t>) (na jednym stanowisku). Możliwość przenoszenia modułu pomiędzy monitorami pacjenta bez udziału serwisu, obsługa i wyświetlanie danych na modułowym monitorze pacjenta.</w:t>
            </w:r>
          </w:p>
          <w:p w14:paraId="642B1A07"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 xml:space="preserve">Zapewnia ciągłe pomiary rzutu minutowego serca (CCO), pojemności wyrzutowej (SV), systemowego oporu naczyniowego (SVR). Pomoc ekranowa – wyświetlanie informacji o zasadach monitorowania, funkcjach i procedurach operacyjnych dotyczącymi </w:t>
            </w:r>
            <w:proofErr w:type="spellStart"/>
            <w:r w:rsidRPr="00E002A5">
              <w:rPr>
                <w:rFonts w:ascii="Calibri" w:hAnsi="Calibri" w:cs="Calibri"/>
                <w:sz w:val="22"/>
                <w:szCs w:val="22"/>
              </w:rPr>
              <w:t>PiCCO</w:t>
            </w:r>
            <w:proofErr w:type="spellEnd"/>
            <w:r w:rsidRPr="00E002A5">
              <w:rPr>
                <w:rFonts w:ascii="Calibri" w:hAnsi="Calibri" w:cs="Calibri"/>
                <w:sz w:val="22"/>
                <w:szCs w:val="22"/>
              </w:rPr>
              <w:t>.</w:t>
            </w:r>
          </w:p>
          <w:p w14:paraId="649257C8"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 xml:space="preserve">Obliczanie wartości pozanaczyniowej wody płucnej (EVLW), całkowitej frakcji wyrzutowej (GEDV), </w:t>
            </w:r>
            <w:proofErr w:type="spellStart"/>
            <w:r w:rsidRPr="00E002A5">
              <w:rPr>
                <w:rFonts w:ascii="Calibri" w:hAnsi="Calibri" w:cs="Calibri"/>
                <w:sz w:val="22"/>
                <w:szCs w:val="22"/>
              </w:rPr>
              <w:t>wewnątrzklatkowej</w:t>
            </w:r>
            <w:proofErr w:type="spellEnd"/>
            <w:r w:rsidRPr="00E002A5">
              <w:rPr>
                <w:rFonts w:ascii="Calibri" w:hAnsi="Calibri" w:cs="Calibri"/>
                <w:sz w:val="22"/>
                <w:szCs w:val="22"/>
              </w:rPr>
              <w:t xml:space="preserve"> objętości krwi (ITBV).</w:t>
            </w:r>
          </w:p>
          <w:p w14:paraId="5D3E7A4E"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W komplecie zestaw przewodów do podłączenia elementów jednorazowych niezbędnych do wykonania pomiaru oraz 1 jednorazowy zestaw pomiarowy.</w:t>
            </w:r>
          </w:p>
        </w:tc>
        <w:tc>
          <w:tcPr>
            <w:tcW w:w="1984" w:type="dxa"/>
            <w:tcBorders>
              <w:top w:val="single" w:sz="6" w:space="0" w:color="7F7F7F"/>
              <w:left w:val="single" w:sz="6" w:space="0" w:color="7F7F7F"/>
              <w:bottom w:val="single" w:sz="6" w:space="0" w:color="7F7F7F"/>
              <w:right w:val="single" w:sz="6" w:space="0" w:color="7F7F7F"/>
            </w:tcBorders>
          </w:tcPr>
          <w:p w14:paraId="40E6FCB2" w14:textId="6223B716" w:rsidR="006F3102" w:rsidRPr="00E002A5" w:rsidRDefault="006F3102" w:rsidP="006F3102">
            <w:pPr>
              <w:jc w:val="center"/>
              <w:rPr>
                <w:rFonts w:ascii="Calibri" w:hAnsi="Calibri" w:cs="Calibri"/>
                <w:sz w:val="22"/>
                <w:szCs w:val="22"/>
              </w:rPr>
            </w:pPr>
            <w:r w:rsidRPr="00FB3919">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787903E4" w14:textId="77777777" w:rsidR="006F3102" w:rsidRPr="00E002A5" w:rsidRDefault="006F3102" w:rsidP="006F3102">
            <w:pPr>
              <w:rPr>
                <w:rFonts w:ascii="Calibri" w:hAnsi="Calibri" w:cs="Calibri"/>
                <w:sz w:val="22"/>
                <w:szCs w:val="22"/>
              </w:rPr>
            </w:pPr>
          </w:p>
        </w:tc>
      </w:tr>
      <w:tr w:rsidR="00E002A5" w:rsidRPr="00E002A5" w14:paraId="3C00ADF4"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2329A88F" w14:textId="77777777" w:rsidR="00E002A5" w:rsidRPr="00E002A5" w:rsidRDefault="00E002A5" w:rsidP="003B2E29">
            <w:pPr>
              <w:pStyle w:val="Akapitzlist"/>
              <w:rPr>
                <w:rFonts w:ascii="Calibri" w:hAnsi="Calibri" w:cs="Calibri"/>
                <w:b/>
                <w:sz w:val="22"/>
                <w:szCs w:val="22"/>
              </w:rPr>
            </w:pPr>
          </w:p>
        </w:tc>
        <w:tc>
          <w:tcPr>
            <w:tcW w:w="9359" w:type="dxa"/>
            <w:gridSpan w:val="3"/>
            <w:tcBorders>
              <w:top w:val="single" w:sz="6" w:space="0" w:color="7F7F7F"/>
              <w:left w:val="single" w:sz="6" w:space="0" w:color="7F7F7F"/>
              <w:bottom w:val="single" w:sz="6" w:space="0" w:color="7F7F7F"/>
              <w:right w:val="single" w:sz="6" w:space="0" w:color="7F7F7F"/>
            </w:tcBorders>
          </w:tcPr>
          <w:p w14:paraId="10342874" w14:textId="77777777" w:rsidR="00E002A5" w:rsidRPr="00E002A5" w:rsidRDefault="00E002A5" w:rsidP="003B2E29">
            <w:pPr>
              <w:jc w:val="center"/>
              <w:rPr>
                <w:rFonts w:ascii="Calibri" w:hAnsi="Calibri" w:cs="Calibri"/>
                <w:b/>
                <w:sz w:val="22"/>
                <w:szCs w:val="22"/>
              </w:rPr>
            </w:pPr>
            <w:r w:rsidRPr="00E002A5">
              <w:rPr>
                <w:rFonts w:ascii="Calibri" w:hAnsi="Calibri" w:cs="Calibri"/>
                <w:b/>
                <w:sz w:val="22"/>
                <w:szCs w:val="22"/>
              </w:rPr>
              <w:t>INNE FUNKCJE I APLIKACJE KLINICZNE</w:t>
            </w:r>
          </w:p>
        </w:tc>
      </w:tr>
      <w:tr w:rsidR="006F3102" w:rsidRPr="00E002A5" w14:paraId="45E18DF7"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011E2BE2"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7D862017"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Monitor wyposażony w funkcję obliczania punktacji do oceny poziomu świadomości wg. skali Glasgow (GCS).</w:t>
            </w:r>
          </w:p>
        </w:tc>
        <w:tc>
          <w:tcPr>
            <w:tcW w:w="1984" w:type="dxa"/>
            <w:tcBorders>
              <w:top w:val="single" w:sz="6" w:space="0" w:color="7F7F7F"/>
              <w:left w:val="single" w:sz="6" w:space="0" w:color="7F7F7F"/>
              <w:bottom w:val="single" w:sz="6" w:space="0" w:color="7F7F7F"/>
              <w:right w:val="single" w:sz="6" w:space="0" w:color="7F7F7F"/>
            </w:tcBorders>
          </w:tcPr>
          <w:p w14:paraId="1D8A0BE5" w14:textId="4FF53DE5" w:rsidR="006F3102" w:rsidRPr="00E002A5" w:rsidRDefault="006F3102" w:rsidP="006F3102">
            <w:pPr>
              <w:jc w:val="center"/>
              <w:rPr>
                <w:rFonts w:ascii="Calibri" w:hAnsi="Calibri" w:cs="Calibri"/>
                <w:sz w:val="22"/>
                <w:szCs w:val="22"/>
              </w:rPr>
            </w:pPr>
            <w:r w:rsidRPr="00D0041F">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53F700AB" w14:textId="77777777" w:rsidR="006F3102" w:rsidRPr="00E002A5" w:rsidRDefault="006F3102" w:rsidP="006F3102">
            <w:pPr>
              <w:rPr>
                <w:rFonts w:ascii="Calibri" w:hAnsi="Calibri" w:cs="Calibri"/>
                <w:sz w:val="22"/>
                <w:szCs w:val="22"/>
              </w:rPr>
            </w:pPr>
          </w:p>
        </w:tc>
      </w:tr>
      <w:tr w:rsidR="006F3102" w:rsidRPr="00E002A5" w14:paraId="02892DA4"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79102182"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7AE25DD3"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Funkcja wyświetlania statystyki SpO2 w wybranymi przez użytkownika przedziale czasowym (od 0,5 do 24 godzin) z prezentacją % udziału zaprogramowanych przez użytkownika przedziałów wartości %SpO2 w badanym przedziale czasowym, z wyborem zakresu docelowego</w:t>
            </w:r>
          </w:p>
        </w:tc>
        <w:tc>
          <w:tcPr>
            <w:tcW w:w="1984" w:type="dxa"/>
            <w:tcBorders>
              <w:top w:val="single" w:sz="6" w:space="0" w:color="7F7F7F"/>
              <w:left w:val="single" w:sz="6" w:space="0" w:color="7F7F7F"/>
              <w:bottom w:val="single" w:sz="6" w:space="0" w:color="7F7F7F"/>
              <w:right w:val="single" w:sz="6" w:space="0" w:color="7F7F7F"/>
            </w:tcBorders>
          </w:tcPr>
          <w:p w14:paraId="5936738B" w14:textId="0E5454A2" w:rsidR="006F3102" w:rsidRPr="00E002A5" w:rsidRDefault="006F3102" w:rsidP="006F3102">
            <w:pPr>
              <w:jc w:val="center"/>
              <w:rPr>
                <w:rFonts w:ascii="Calibri" w:hAnsi="Calibri" w:cs="Calibri"/>
                <w:sz w:val="22"/>
                <w:szCs w:val="22"/>
              </w:rPr>
            </w:pPr>
            <w:r w:rsidRPr="00D0041F">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18FB7A22" w14:textId="77777777" w:rsidR="006F3102" w:rsidRPr="00E002A5" w:rsidRDefault="006F3102" w:rsidP="006F3102">
            <w:pPr>
              <w:rPr>
                <w:rFonts w:ascii="Calibri" w:hAnsi="Calibri" w:cs="Calibri"/>
                <w:sz w:val="22"/>
                <w:szCs w:val="22"/>
              </w:rPr>
            </w:pPr>
          </w:p>
        </w:tc>
      </w:tr>
      <w:tr w:rsidR="006F3102" w:rsidRPr="00E002A5" w14:paraId="6D0663F6"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63A8A466"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57B7C342"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Funkcja „oczekiwanie”, pozwalająca na wstrzymanie monitorowania pacjenta, związane np. z czasowym odłączeniem go od monitora, bez konieczności wyłączania monitora, i na szybkie, ponowne uruchomienie monitorowania.</w:t>
            </w:r>
          </w:p>
        </w:tc>
        <w:tc>
          <w:tcPr>
            <w:tcW w:w="1984" w:type="dxa"/>
            <w:tcBorders>
              <w:top w:val="single" w:sz="6" w:space="0" w:color="7F7F7F"/>
              <w:left w:val="single" w:sz="6" w:space="0" w:color="7F7F7F"/>
              <w:bottom w:val="single" w:sz="6" w:space="0" w:color="7F7F7F"/>
              <w:right w:val="single" w:sz="6" w:space="0" w:color="7F7F7F"/>
            </w:tcBorders>
          </w:tcPr>
          <w:p w14:paraId="3FCAA287" w14:textId="7484097A" w:rsidR="006F3102" w:rsidRPr="00E002A5" w:rsidRDefault="006F3102" w:rsidP="006F3102">
            <w:pPr>
              <w:jc w:val="center"/>
              <w:rPr>
                <w:rFonts w:ascii="Calibri" w:hAnsi="Calibri" w:cs="Calibri"/>
                <w:sz w:val="22"/>
                <w:szCs w:val="22"/>
              </w:rPr>
            </w:pPr>
            <w:r w:rsidRPr="004609AC">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5BC9EFEE" w14:textId="77777777" w:rsidR="006F3102" w:rsidRPr="00E002A5" w:rsidRDefault="006F3102" w:rsidP="006F3102">
            <w:pPr>
              <w:rPr>
                <w:rFonts w:ascii="Calibri" w:hAnsi="Calibri" w:cs="Calibri"/>
                <w:sz w:val="22"/>
                <w:szCs w:val="22"/>
              </w:rPr>
            </w:pPr>
          </w:p>
        </w:tc>
      </w:tr>
      <w:tr w:rsidR="006F3102" w:rsidRPr="00E002A5" w14:paraId="267BCEAF"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2935C0CA"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0E31D8EE"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Funkcja „tryb prywatny” pozwalająca - w przypadku podłączenia urządzenia do centrali - na ukrycie danych przed pacjentem i wyświetlanie ich tylko na stanowisku centralnym.</w:t>
            </w:r>
          </w:p>
        </w:tc>
        <w:tc>
          <w:tcPr>
            <w:tcW w:w="1984" w:type="dxa"/>
            <w:tcBorders>
              <w:top w:val="single" w:sz="6" w:space="0" w:color="7F7F7F"/>
              <w:left w:val="single" w:sz="6" w:space="0" w:color="7F7F7F"/>
              <w:bottom w:val="single" w:sz="6" w:space="0" w:color="7F7F7F"/>
              <w:right w:val="single" w:sz="6" w:space="0" w:color="7F7F7F"/>
            </w:tcBorders>
          </w:tcPr>
          <w:p w14:paraId="295BEA3E" w14:textId="086C7CD1" w:rsidR="006F3102" w:rsidRPr="00E002A5" w:rsidRDefault="006F3102" w:rsidP="006F3102">
            <w:pPr>
              <w:jc w:val="center"/>
              <w:rPr>
                <w:rFonts w:ascii="Calibri" w:hAnsi="Calibri" w:cs="Calibri"/>
                <w:sz w:val="22"/>
                <w:szCs w:val="22"/>
              </w:rPr>
            </w:pPr>
            <w:r w:rsidRPr="004609AC">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463626D0" w14:textId="77777777" w:rsidR="006F3102" w:rsidRPr="00E002A5" w:rsidRDefault="006F3102" w:rsidP="006F3102">
            <w:pPr>
              <w:rPr>
                <w:rFonts w:ascii="Calibri" w:hAnsi="Calibri" w:cs="Calibri"/>
                <w:sz w:val="22"/>
                <w:szCs w:val="22"/>
              </w:rPr>
            </w:pPr>
          </w:p>
        </w:tc>
      </w:tr>
      <w:tr w:rsidR="006F3102" w:rsidRPr="00E002A5" w14:paraId="7315D840"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76B4D03C"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11A584A3"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Funkcja dotycząca układu sercowo-krążeniowo i oddechowego z przedstawieniem w formie animacji zmian parametrów związanych z obciążeniem wstępnym, pracą serca, wodą w płucach , obciążeniem następczym</w:t>
            </w:r>
          </w:p>
        </w:tc>
        <w:tc>
          <w:tcPr>
            <w:tcW w:w="1984" w:type="dxa"/>
            <w:tcBorders>
              <w:top w:val="single" w:sz="6" w:space="0" w:color="7F7F7F"/>
              <w:left w:val="single" w:sz="6" w:space="0" w:color="7F7F7F"/>
              <w:bottom w:val="single" w:sz="6" w:space="0" w:color="7F7F7F"/>
              <w:right w:val="single" w:sz="6" w:space="0" w:color="7F7F7F"/>
            </w:tcBorders>
          </w:tcPr>
          <w:p w14:paraId="15DE17D7" w14:textId="44FD1C31" w:rsidR="006F3102" w:rsidRPr="00E002A5" w:rsidRDefault="006F3102" w:rsidP="006F3102">
            <w:pPr>
              <w:jc w:val="center"/>
              <w:rPr>
                <w:rFonts w:ascii="Calibri" w:hAnsi="Calibri" w:cs="Calibri"/>
                <w:sz w:val="22"/>
                <w:szCs w:val="22"/>
              </w:rPr>
            </w:pPr>
            <w:r w:rsidRPr="004609AC">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0445568B" w14:textId="77777777" w:rsidR="006F3102" w:rsidRPr="00E002A5" w:rsidRDefault="006F3102" w:rsidP="006F3102">
            <w:pPr>
              <w:rPr>
                <w:rFonts w:ascii="Calibri" w:hAnsi="Calibri" w:cs="Calibri"/>
                <w:sz w:val="22"/>
                <w:szCs w:val="22"/>
              </w:rPr>
            </w:pPr>
          </w:p>
        </w:tc>
      </w:tr>
      <w:tr w:rsidR="006F3102" w:rsidRPr="00E002A5" w14:paraId="2F9CDDB2"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28161393" w14:textId="77777777" w:rsidR="006F3102" w:rsidRPr="00E002A5" w:rsidRDefault="006F3102" w:rsidP="006F3102">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71F9BFB2" w14:textId="77777777" w:rsidR="006F3102" w:rsidRPr="00E002A5" w:rsidRDefault="006F3102" w:rsidP="006F3102">
            <w:pPr>
              <w:rPr>
                <w:rFonts w:ascii="Calibri" w:hAnsi="Calibri" w:cs="Calibri"/>
                <w:sz w:val="22"/>
                <w:szCs w:val="22"/>
              </w:rPr>
            </w:pPr>
            <w:r w:rsidRPr="00E002A5">
              <w:rPr>
                <w:rFonts w:ascii="Calibri" w:hAnsi="Calibri" w:cs="Calibri"/>
                <w:sz w:val="22"/>
                <w:szCs w:val="22"/>
              </w:rPr>
              <w:t>Możliwość rozbudowy oferowanego monitora o funkcje wspomagania decyzji klinicznych:</w:t>
            </w:r>
          </w:p>
        </w:tc>
        <w:tc>
          <w:tcPr>
            <w:tcW w:w="1984" w:type="dxa"/>
            <w:tcBorders>
              <w:top w:val="single" w:sz="6" w:space="0" w:color="7F7F7F"/>
              <w:left w:val="single" w:sz="6" w:space="0" w:color="7F7F7F"/>
              <w:bottom w:val="single" w:sz="6" w:space="0" w:color="7F7F7F"/>
              <w:right w:val="single" w:sz="6" w:space="0" w:color="7F7F7F"/>
            </w:tcBorders>
          </w:tcPr>
          <w:p w14:paraId="153C12F1" w14:textId="3D2F5B78" w:rsidR="006F3102" w:rsidRPr="00E002A5" w:rsidRDefault="006F3102" w:rsidP="006F3102">
            <w:pPr>
              <w:jc w:val="center"/>
              <w:rPr>
                <w:rFonts w:ascii="Calibri" w:hAnsi="Calibri" w:cs="Calibri"/>
                <w:sz w:val="22"/>
                <w:szCs w:val="22"/>
              </w:rPr>
            </w:pPr>
            <w:r w:rsidRPr="004609AC">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3CAF6405" w14:textId="77777777" w:rsidR="006F3102" w:rsidRPr="00E002A5" w:rsidRDefault="006F3102" w:rsidP="006F3102">
            <w:pPr>
              <w:rPr>
                <w:rFonts w:ascii="Calibri" w:hAnsi="Calibri" w:cs="Calibri"/>
                <w:sz w:val="22"/>
                <w:szCs w:val="22"/>
              </w:rPr>
            </w:pPr>
          </w:p>
        </w:tc>
      </w:tr>
      <w:tr w:rsidR="006F3102" w:rsidRPr="00E002A5" w14:paraId="23488E56"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tcPr>
          <w:p w14:paraId="2FF1D340" w14:textId="77777777" w:rsidR="006F3102" w:rsidRPr="00E002A5" w:rsidRDefault="006F3102" w:rsidP="006F3102">
            <w:pPr>
              <w:pStyle w:val="Akapitzlist"/>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6B421311" w14:textId="77777777" w:rsidR="006F3102" w:rsidRPr="00E002A5" w:rsidRDefault="006F3102" w:rsidP="006F3102">
            <w:pPr>
              <w:numPr>
                <w:ilvl w:val="0"/>
                <w:numId w:val="5"/>
              </w:numPr>
              <w:suppressAutoHyphens w:val="0"/>
              <w:spacing w:line="278" w:lineRule="auto"/>
              <w:rPr>
                <w:rFonts w:ascii="Calibri" w:hAnsi="Calibri" w:cs="Calibri"/>
                <w:sz w:val="22"/>
                <w:szCs w:val="22"/>
              </w:rPr>
            </w:pPr>
            <w:r w:rsidRPr="00E002A5">
              <w:rPr>
                <w:rFonts w:ascii="Calibri" w:hAnsi="Calibri" w:cs="Calibri"/>
                <w:sz w:val="22"/>
                <w:szCs w:val="22"/>
              </w:rPr>
              <w:t>związanych z diagnozą i prowadzeniem terapii sepsy (zgodnie z zaleceniami SSC (</w:t>
            </w:r>
            <w:proofErr w:type="spellStart"/>
            <w:r w:rsidRPr="00E002A5">
              <w:rPr>
                <w:rFonts w:ascii="Calibri" w:hAnsi="Calibri" w:cs="Calibri"/>
                <w:sz w:val="22"/>
                <w:szCs w:val="22"/>
              </w:rPr>
              <w:t>Surviving</w:t>
            </w:r>
            <w:proofErr w:type="spellEnd"/>
            <w:r w:rsidRPr="00E002A5">
              <w:rPr>
                <w:rFonts w:ascii="Calibri" w:hAnsi="Calibri" w:cs="Calibri"/>
                <w:sz w:val="22"/>
                <w:szCs w:val="22"/>
              </w:rPr>
              <w:t xml:space="preserve"> </w:t>
            </w:r>
            <w:proofErr w:type="spellStart"/>
            <w:r w:rsidRPr="00E002A5">
              <w:rPr>
                <w:rFonts w:ascii="Calibri" w:hAnsi="Calibri" w:cs="Calibri"/>
                <w:sz w:val="22"/>
                <w:szCs w:val="22"/>
              </w:rPr>
              <w:t>Sepsis</w:t>
            </w:r>
            <w:proofErr w:type="spellEnd"/>
            <w:r w:rsidRPr="00E002A5">
              <w:rPr>
                <w:rFonts w:ascii="Calibri" w:hAnsi="Calibri" w:cs="Calibri"/>
                <w:sz w:val="22"/>
                <w:szCs w:val="22"/>
              </w:rPr>
              <w:t xml:space="preserve"> </w:t>
            </w:r>
            <w:proofErr w:type="spellStart"/>
            <w:r w:rsidRPr="00E002A5">
              <w:rPr>
                <w:rFonts w:ascii="Calibri" w:hAnsi="Calibri" w:cs="Calibri"/>
                <w:sz w:val="22"/>
                <w:szCs w:val="22"/>
              </w:rPr>
              <w:t>Compaign</w:t>
            </w:r>
            <w:proofErr w:type="spellEnd"/>
            <w:r w:rsidRPr="00E002A5">
              <w:rPr>
                <w:rFonts w:ascii="Calibri" w:hAnsi="Calibri" w:cs="Calibri"/>
                <w:sz w:val="22"/>
                <w:szCs w:val="22"/>
              </w:rPr>
              <w:t xml:space="preserve">) oraz Sepsis-3 (Third International </w:t>
            </w:r>
            <w:proofErr w:type="spellStart"/>
            <w:r w:rsidRPr="00E002A5">
              <w:rPr>
                <w:rFonts w:ascii="Calibri" w:hAnsi="Calibri" w:cs="Calibri"/>
                <w:sz w:val="22"/>
                <w:szCs w:val="22"/>
              </w:rPr>
              <w:t>Consensus</w:t>
            </w:r>
            <w:proofErr w:type="spellEnd"/>
            <w:r w:rsidRPr="00E002A5">
              <w:rPr>
                <w:rFonts w:ascii="Calibri" w:hAnsi="Calibri" w:cs="Calibri"/>
                <w:sz w:val="22"/>
                <w:szCs w:val="22"/>
              </w:rPr>
              <w:t xml:space="preserve"> </w:t>
            </w:r>
            <w:proofErr w:type="spellStart"/>
            <w:r w:rsidRPr="00E002A5">
              <w:rPr>
                <w:rFonts w:ascii="Calibri" w:hAnsi="Calibri" w:cs="Calibri"/>
                <w:sz w:val="22"/>
                <w:szCs w:val="22"/>
              </w:rPr>
              <w:t>Definitions</w:t>
            </w:r>
            <w:proofErr w:type="spellEnd"/>
            <w:r w:rsidRPr="00E002A5">
              <w:rPr>
                <w:rFonts w:ascii="Calibri" w:hAnsi="Calibri" w:cs="Calibri"/>
                <w:sz w:val="22"/>
                <w:szCs w:val="22"/>
              </w:rPr>
              <w:t xml:space="preserve"> for </w:t>
            </w:r>
            <w:proofErr w:type="spellStart"/>
            <w:r w:rsidRPr="00E002A5">
              <w:rPr>
                <w:rFonts w:ascii="Calibri" w:hAnsi="Calibri" w:cs="Calibri"/>
                <w:sz w:val="22"/>
                <w:szCs w:val="22"/>
              </w:rPr>
              <w:t>Sepsis</w:t>
            </w:r>
            <w:proofErr w:type="spellEnd"/>
            <w:r w:rsidRPr="00E002A5">
              <w:rPr>
                <w:rFonts w:ascii="Calibri" w:hAnsi="Calibri" w:cs="Calibri"/>
                <w:sz w:val="22"/>
                <w:szCs w:val="22"/>
              </w:rPr>
              <w:t xml:space="preserve"> and </w:t>
            </w:r>
            <w:proofErr w:type="spellStart"/>
            <w:r w:rsidRPr="00E002A5">
              <w:rPr>
                <w:rFonts w:ascii="Calibri" w:hAnsi="Calibri" w:cs="Calibri"/>
                <w:sz w:val="22"/>
                <w:szCs w:val="22"/>
              </w:rPr>
              <w:t>Septic</w:t>
            </w:r>
            <w:proofErr w:type="spellEnd"/>
            <w:r w:rsidRPr="00E002A5">
              <w:rPr>
                <w:rFonts w:ascii="Calibri" w:hAnsi="Calibri" w:cs="Calibri"/>
                <w:sz w:val="22"/>
                <w:szCs w:val="22"/>
              </w:rPr>
              <w:t xml:space="preserve"> </w:t>
            </w:r>
            <w:proofErr w:type="spellStart"/>
            <w:r w:rsidRPr="00E002A5">
              <w:rPr>
                <w:rFonts w:ascii="Calibri" w:hAnsi="Calibri" w:cs="Calibri"/>
                <w:sz w:val="22"/>
                <w:szCs w:val="22"/>
              </w:rPr>
              <w:t>Shock</w:t>
            </w:r>
            <w:proofErr w:type="spellEnd"/>
            <w:r w:rsidRPr="00E002A5">
              <w:rPr>
                <w:rFonts w:ascii="Calibri" w:hAnsi="Calibri" w:cs="Calibri"/>
                <w:sz w:val="22"/>
                <w:szCs w:val="22"/>
              </w:rPr>
              <w:t>)</w:t>
            </w:r>
          </w:p>
        </w:tc>
        <w:tc>
          <w:tcPr>
            <w:tcW w:w="1984" w:type="dxa"/>
            <w:tcBorders>
              <w:top w:val="single" w:sz="6" w:space="0" w:color="7F7F7F"/>
              <w:left w:val="single" w:sz="6" w:space="0" w:color="7F7F7F"/>
              <w:bottom w:val="single" w:sz="6" w:space="0" w:color="7F7F7F"/>
              <w:right w:val="single" w:sz="6" w:space="0" w:color="7F7F7F"/>
            </w:tcBorders>
          </w:tcPr>
          <w:p w14:paraId="60E264B1" w14:textId="5CD4D200" w:rsidR="006F3102" w:rsidRPr="00E002A5" w:rsidRDefault="006F3102" w:rsidP="006F3102">
            <w:pPr>
              <w:jc w:val="center"/>
              <w:rPr>
                <w:rFonts w:ascii="Calibri" w:hAnsi="Calibri" w:cs="Calibri"/>
                <w:sz w:val="22"/>
                <w:szCs w:val="22"/>
              </w:rPr>
            </w:pPr>
            <w:r w:rsidRPr="004609AC">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683DBB55" w14:textId="77777777" w:rsidR="006F3102" w:rsidRPr="00E002A5" w:rsidRDefault="006F3102" w:rsidP="006F3102">
            <w:pPr>
              <w:rPr>
                <w:rFonts w:ascii="Calibri" w:hAnsi="Calibri" w:cs="Calibri"/>
                <w:sz w:val="22"/>
                <w:szCs w:val="22"/>
              </w:rPr>
            </w:pPr>
          </w:p>
        </w:tc>
      </w:tr>
      <w:tr w:rsidR="006F3102" w:rsidRPr="00E002A5" w14:paraId="6AB5CE75"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tcPr>
          <w:p w14:paraId="318946A5" w14:textId="77777777" w:rsidR="006F3102" w:rsidRPr="00E002A5" w:rsidRDefault="006F3102" w:rsidP="006F3102">
            <w:pPr>
              <w:pStyle w:val="Akapitzlist"/>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7A67F3C4" w14:textId="77777777" w:rsidR="006F3102" w:rsidRPr="00E002A5" w:rsidRDefault="006F3102" w:rsidP="006F3102">
            <w:pPr>
              <w:numPr>
                <w:ilvl w:val="0"/>
                <w:numId w:val="5"/>
              </w:numPr>
              <w:suppressAutoHyphens w:val="0"/>
              <w:spacing w:line="278" w:lineRule="auto"/>
              <w:rPr>
                <w:rFonts w:ascii="Calibri" w:hAnsi="Calibri" w:cs="Calibri"/>
                <w:sz w:val="22"/>
                <w:szCs w:val="22"/>
              </w:rPr>
            </w:pPr>
            <w:r w:rsidRPr="00E002A5">
              <w:rPr>
                <w:rFonts w:ascii="Calibri" w:hAnsi="Calibri" w:cs="Calibri"/>
                <w:sz w:val="22"/>
                <w:szCs w:val="22"/>
              </w:rPr>
              <w:t>związanych z analizą pracy stymulatora</w:t>
            </w:r>
          </w:p>
        </w:tc>
        <w:tc>
          <w:tcPr>
            <w:tcW w:w="1984" w:type="dxa"/>
            <w:tcBorders>
              <w:top w:val="single" w:sz="6" w:space="0" w:color="7F7F7F"/>
              <w:left w:val="single" w:sz="6" w:space="0" w:color="7F7F7F"/>
              <w:bottom w:val="single" w:sz="6" w:space="0" w:color="7F7F7F"/>
              <w:right w:val="single" w:sz="6" w:space="0" w:color="7F7F7F"/>
            </w:tcBorders>
          </w:tcPr>
          <w:p w14:paraId="00FF9F84" w14:textId="3D023BC3" w:rsidR="006F3102" w:rsidRPr="00E002A5" w:rsidRDefault="006F3102" w:rsidP="006F3102">
            <w:pPr>
              <w:jc w:val="center"/>
              <w:rPr>
                <w:rFonts w:ascii="Calibri" w:hAnsi="Calibri" w:cs="Calibri"/>
                <w:sz w:val="22"/>
                <w:szCs w:val="22"/>
              </w:rPr>
            </w:pPr>
            <w:r w:rsidRPr="00F52B64">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6997416C" w14:textId="77777777" w:rsidR="006F3102" w:rsidRPr="00E002A5" w:rsidRDefault="006F3102" w:rsidP="006F3102">
            <w:pPr>
              <w:rPr>
                <w:rFonts w:ascii="Calibri" w:hAnsi="Calibri" w:cs="Calibri"/>
                <w:sz w:val="22"/>
                <w:szCs w:val="22"/>
              </w:rPr>
            </w:pPr>
          </w:p>
        </w:tc>
      </w:tr>
      <w:tr w:rsidR="006F3102" w:rsidRPr="00E002A5" w14:paraId="26D63EB3"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tcPr>
          <w:p w14:paraId="5BBE5E55" w14:textId="77777777" w:rsidR="006F3102" w:rsidRPr="00E002A5" w:rsidRDefault="006F3102" w:rsidP="006F3102">
            <w:pPr>
              <w:pStyle w:val="Akapitzlist"/>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3135B813" w14:textId="77777777" w:rsidR="006F3102" w:rsidRPr="00E002A5" w:rsidRDefault="006F3102" w:rsidP="006F3102">
            <w:pPr>
              <w:numPr>
                <w:ilvl w:val="0"/>
                <w:numId w:val="5"/>
              </w:numPr>
              <w:suppressAutoHyphens w:val="0"/>
              <w:spacing w:line="278" w:lineRule="auto"/>
              <w:rPr>
                <w:rFonts w:ascii="Calibri" w:hAnsi="Calibri" w:cs="Calibri"/>
                <w:sz w:val="22"/>
                <w:szCs w:val="22"/>
              </w:rPr>
            </w:pPr>
            <w:r w:rsidRPr="00E002A5">
              <w:rPr>
                <w:rFonts w:ascii="Calibri" w:hAnsi="Calibri" w:cs="Calibri"/>
                <w:sz w:val="22"/>
                <w:szCs w:val="22"/>
              </w:rPr>
              <w:t>związanych z 24 godzinną analizą EKG</w:t>
            </w:r>
          </w:p>
        </w:tc>
        <w:tc>
          <w:tcPr>
            <w:tcW w:w="1984" w:type="dxa"/>
            <w:tcBorders>
              <w:top w:val="single" w:sz="6" w:space="0" w:color="7F7F7F"/>
              <w:left w:val="single" w:sz="6" w:space="0" w:color="7F7F7F"/>
              <w:bottom w:val="single" w:sz="6" w:space="0" w:color="7F7F7F"/>
              <w:right w:val="single" w:sz="6" w:space="0" w:color="7F7F7F"/>
            </w:tcBorders>
          </w:tcPr>
          <w:p w14:paraId="74E37888" w14:textId="19BB6BE1" w:rsidR="006F3102" w:rsidRPr="00E002A5" w:rsidRDefault="006F3102" w:rsidP="006F3102">
            <w:pPr>
              <w:jc w:val="center"/>
              <w:rPr>
                <w:rFonts w:ascii="Calibri" w:hAnsi="Calibri" w:cs="Calibri"/>
                <w:sz w:val="22"/>
                <w:szCs w:val="22"/>
              </w:rPr>
            </w:pPr>
            <w:r w:rsidRPr="00F52B64">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5593EC1F" w14:textId="77777777" w:rsidR="006F3102" w:rsidRPr="00E002A5" w:rsidRDefault="006F3102" w:rsidP="006F3102">
            <w:pPr>
              <w:rPr>
                <w:rFonts w:ascii="Calibri" w:hAnsi="Calibri" w:cs="Calibri"/>
                <w:sz w:val="22"/>
                <w:szCs w:val="22"/>
              </w:rPr>
            </w:pPr>
          </w:p>
        </w:tc>
      </w:tr>
      <w:tr w:rsidR="006F3102" w:rsidRPr="00E002A5" w14:paraId="7DF04F95"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tcPr>
          <w:p w14:paraId="04301FEA" w14:textId="77777777" w:rsidR="006F3102" w:rsidRPr="00E002A5" w:rsidRDefault="006F3102" w:rsidP="006F3102">
            <w:pPr>
              <w:pStyle w:val="Akapitzlist"/>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4545010A" w14:textId="77777777" w:rsidR="006F3102" w:rsidRPr="00E002A5" w:rsidRDefault="006F3102" w:rsidP="006F3102">
            <w:pPr>
              <w:numPr>
                <w:ilvl w:val="0"/>
                <w:numId w:val="5"/>
              </w:numPr>
              <w:suppressAutoHyphens w:val="0"/>
              <w:spacing w:line="278" w:lineRule="auto"/>
              <w:rPr>
                <w:rFonts w:ascii="Calibri" w:hAnsi="Calibri" w:cs="Calibri"/>
                <w:sz w:val="22"/>
                <w:szCs w:val="22"/>
              </w:rPr>
            </w:pPr>
            <w:r w:rsidRPr="00E002A5">
              <w:rPr>
                <w:rFonts w:ascii="Calibri" w:hAnsi="Calibri" w:cs="Calibri"/>
                <w:sz w:val="22"/>
                <w:szCs w:val="22"/>
              </w:rPr>
              <w:t>protokół wczesnej oceny skali ostrzegania (EWS)</w:t>
            </w:r>
          </w:p>
        </w:tc>
        <w:tc>
          <w:tcPr>
            <w:tcW w:w="1984" w:type="dxa"/>
            <w:tcBorders>
              <w:top w:val="single" w:sz="6" w:space="0" w:color="7F7F7F"/>
              <w:left w:val="single" w:sz="6" w:space="0" w:color="7F7F7F"/>
              <w:bottom w:val="single" w:sz="6" w:space="0" w:color="7F7F7F"/>
              <w:right w:val="single" w:sz="6" w:space="0" w:color="7F7F7F"/>
            </w:tcBorders>
          </w:tcPr>
          <w:p w14:paraId="0345BCD8" w14:textId="46264784" w:rsidR="006F3102" w:rsidRPr="00E002A5" w:rsidRDefault="006F3102" w:rsidP="006F3102">
            <w:pPr>
              <w:jc w:val="center"/>
              <w:rPr>
                <w:rFonts w:ascii="Calibri" w:hAnsi="Calibri" w:cs="Calibri"/>
                <w:sz w:val="22"/>
                <w:szCs w:val="22"/>
              </w:rPr>
            </w:pPr>
            <w:r w:rsidRPr="00F52B64">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256A66A3" w14:textId="77777777" w:rsidR="006F3102" w:rsidRPr="00E002A5" w:rsidRDefault="006F3102" w:rsidP="006F3102">
            <w:pPr>
              <w:rPr>
                <w:rFonts w:ascii="Calibri" w:hAnsi="Calibri" w:cs="Calibri"/>
                <w:sz w:val="22"/>
                <w:szCs w:val="22"/>
              </w:rPr>
            </w:pPr>
          </w:p>
        </w:tc>
      </w:tr>
      <w:tr w:rsidR="006F3102" w:rsidRPr="00E002A5" w14:paraId="1E8E2D14"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tcPr>
          <w:p w14:paraId="072A0C35" w14:textId="77777777" w:rsidR="006F3102" w:rsidRPr="00E002A5" w:rsidRDefault="006F3102" w:rsidP="006F3102">
            <w:pPr>
              <w:pStyle w:val="Akapitzlist"/>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7322F124" w14:textId="77777777" w:rsidR="006F3102" w:rsidRPr="00E002A5" w:rsidRDefault="006F3102" w:rsidP="006F3102">
            <w:pPr>
              <w:numPr>
                <w:ilvl w:val="0"/>
                <w:numId w:val="5"/>
              </w:numPr>
              <w:suppressAutoHyphens w:val="0"/>
              <w:spacing w:line="278" w:lineRule="auto"/>
              <w:rPr>
                <w:rFonts w:ascii="Calibri" w:hAnsi="Calibri" w:cs="Calibri"/>
                <w:sz w:val="22"/>
                <w:szCs w:val="22"/>
              </w:rPr>
            </w:pPr>
            <w:r w:rsidRPr="00E002A5">
              <w:rPr>
                <w:rFonts w:ascii="Calibri" w:hAnsi="Calibri" w:cs="Calibri"/>
                <w:sz w:val="22"/>
                <w:szCs w:val="22"/>
              </w:rPr>
              <w:t>dedykowaną aplikację uruchamianą na ekranie monitora pacjenta pomagającą utrzymać optymalna anestezję w okresie okołooperacyjnym (podczas indukcji anestezjologicznej, znieczulenia i wybudzenia)</w:t>
            </w:r>
          </w:p>
        </w:tc>
        <w:tc>
          <w:tcPr>
            <w:tcW w:w="1984" w:type="dxa"/>
            <w:tcBorders>
              <w:top w:val="single" w:sz="6" w:space="0" w:color="7F7F7F"/>
              <w:left w:val="single" w:sz="6" w:space="0" w:color="7F7F7F"/>
              <w:bottom w:val="single" w:sz="6" w:space="0" w:color="7F7F7F"/>
              <w:right w:val="single" w:sz="6" w:space="0" w:color="7F7F7F"/>
            </w:tcBorders>
          </w:tcPr>
          <w:p w14:paraId="1E89F282" w14:textId="4592764F" w:rsidR="006F3102" w:rsidRPr="00E002A5" w:rsidRDefault="006F3102" w:rsidP="006F3102">
            <w:pPr>
              <w:jc w:val="center"/>
              <w:rPr>
                <w:rFonts w:ascii="Calibri" w:hAnsi="Calibri" w:cs="Calibri"/>
                <w:sz w:val="22"/>
                <w:szCs w:val="22"/>
              </w:rPr>
            </w:pPr>
            <w:r w:rsidRPr="00F52B64">
              <w:rPr>
                <w:rFonts w:ascii="Calibri" w:hAnsi="Calibri" w:cs="Calibri"/>
                <w:sz w:val="22"/>
                <w:szCs w:val="22"/>
              </w:rPr>
              <w:t>TAK</w:t>
            </w:r>
          </w:p>
        </w:tc>
        <w:tc>
          <w:tcPr>
            <w:tcW w:w="1992" w:type="dxa"/>
            <w:tcBorders>
              <w:top w:val="single" w:sz="6" w:space="0" w:color="7F7F7F"/>
              <w:left w:val="single" w:sz="6" w:space="0" w:color="7F7F7F"/>
              <w:bottom w:val="single" w:sz="6" w:space="0" w:color="7F7F7F"/>
              <w:right w:val="single" w:sz="6" w:space="0" w:color="7F7F7F"/>
            </w:tcBorders>
          </w:tcPr>
          <w:p w14:paraId="2D292571" w14:textId="77777777" w:rsidR="006F3102" w:rsidRPr="00E002A5" w:rsidRDefault="006F3102" w:rsidP="006F3102">
            <w:pPr>
              <w:rPr>
                <w:rFonts w:ascii="Calibri" w:hAnsi="Calibri" w:cs="Calibri"/>
                <w:sz w:val="22"/>
                <w:szCs w:val="22"/>
              </w:rPr>
            </w:pPr>
          </w:p>
        </w:tc>
      </w:tr>
      <w:tr w:rsidR="00E002A5" w:rsidRPr="00E002A5" w14:paraId="3F20EA61"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4F64279D" w14:textId="77777777" w:rsidR="00E002A5" w:rsidRPr="00E002A5" w:rsidRDefault="00E002A5" w:rsidP="003B2E29">
            <w:pPr>
              <w:pStyle w:val="Akapitzlist"/>
              <w:rPr>
                <w:rFonts w:ascii="Calibri" w:hAnsi="Calibri" w:cs="Calibri"/>
                <w:b/>
                <w:sz w:val="22"/>
                <w:szCs w:val="22"/>
              </w:rPr>
            </w:pPr>
          </w:p>
        </w:tc>
        <w:tc>
          <w:tcPr>
            <w:tcW w:w="9359" w:type="dxa"/>
            <w:gridSpan w:val="3"/>
            <w:tcBorders>
              <w:top w:val="single" w:sz="6" w:space="0" w:color="7F7F7F"/>
              <w:left w:val="single" w:sz="6" w:space="0" w:color="7F7F7F"/>
              <w:bottom w:val="single" w:sz="6" w:space="0" w:color="7F7F7F"/>
              <w:right w:val="single" w:sz="6" w:space="0" w:color="7F7F7F"/>
            </w:tcBorders>
          </w:tcPr>
          <w:p w14:paraId="50509996" w14:textId="77777777" w:rsidR="00E002A5" w:rsidRPr="00E002A5" w:rsidRDefault="00E002A5" w:rsidP="003B2E29">
            <w:pPr>
              <w:jc w:val="center"/>
              <w:rPr>
                <w:rFonts w:ascii="Calibri" w:hAnsi="Calibri" w:cs="Calibri"/>
                <w:b/>
                <w:sz w:val="22"/>
                <w:szCs w:val="22"/>
              </w:rPr>
            </w:pPr>
            <w:r w:rsidRPr="00E002A5">
              <w:rPr>
                <w:rFonts w:ascii="Calibri" w:hAnsi="Calibri" w:cs="Calibri"/>
                <w:b/>
                <w:sz w:val="22"/>
                <w:szCs w:val="22"/>
              </w:rPr>
              <w:t>MONTAŻ</w:t>
            </w:r>
          </w:p>
        </w:tc>
      </w:tr>
      <w:tr w:rsidR="00E002A5" w:rsidRPr="00E002A5" w14:paraId="1BED28E0" w14:textId="77777777" w:rsidTr="003B2E29">
        <w:trPr>
          <w:gridAfter w:val="1"/>
          <w:wAfter w:w="8" w:type="dxa"/>
          <w:cantSplit/>
          <w:trHeight w:val="112"/>
        </w:trPr>
        <w:tc>
          <w:tcPr>
            <w:tcW w:w="1070" w:type="dxa"/>
            <w:tcBorders>
              <w:top w:val="single" w:sz="6" w:space="0" w:color="7F7F7F"/>
              <w:left w:val="single" w:sz="6" w:space="0" w:color="7F7F7F"/>
              <w:bottom w:val="single" w:sz="6" w:space="0" w:color="7F7F7F"/>
              <w:right w:val="single" w:sz="6" w:space="0" w:color="7F7F7F"/>
            </w:tcBorders>
            <w:hideMark/>
          </w:tcPr>
          <w:p w14:paraId="6CCC71BD" w14:textId="77777777" w:rsidR="00E002A5" w:rsidRPr="00E002A5" w:rsidRDefault="00E002A5" w:rsidP="00E002A5">
            <w:pPr>
              <w:pStyle w:val="Akapitzlist"/>
              <w:numPr>
                <w:ilvl w:val="0"/>
                <w:numId w:val="6"/>
              </w:numPr>
              <w:suppressAutoHyphens w:val="0"/>
              <w:spacing w:line="278" w:lineRule="auto"/>
              <w:rPr>
                <w:rFonts w:ascii="Calibri" w:hAnsi="Calibri" w:cs="Calibri"/>
                <w:sz w:val="22"/>
                <w:szCs w:val="22"/>
              </w:rPr>
            </w:pPr>
          </w:p>
        </w:tc>
        <w:tc>
          <w:tcPr>
            <w:tcW w:w="5383" w:type="dxa"/>
            <w:tcBorders>
              <w:top w:val="single" w:sz="6" w:space="0" w:color="7F7F7F"/>
              <w:left w:val="single" w:sz="6" w:space="0" w:color="7F7F7F"/>
              <w:bottom w:val="single" w:sz="6" w:space="0" w:color="7F7F7F"/>
              <w:right w:val="single" w:sz="6" w:space="0" w:color="7F7F7F"/>
            </w:tcBorders>
            <w:hideMark/>
          </w:tcPr>
          <w:p w14:paraId="7A344C14" w14:textId="77777777" w:rsidR="00E002A5" w:rsidRPr="00E002A5" w:rsidRDefault="00E002A5" w:rsidP="003B2E29">
            <w:pPr>
              <w:rPr>
                <w:rFonts w:ascii="Calibri" w:hAnsi="Calibri" w:cs="Calibri"/>
                <w:sz w:val="22"/>
                <w:szCs w:val="22"/>
              </w:rPr>
            </w:pPr>
            <w:r w:rsidRPr="00E002A5">
              <w:rPr>
                <w:rFonts w:ascii="Calibri" w:hAnsi="Calibri" w:cs="Calibri"/>
                <w:sz w:val="22"/>
                <w:szCs w:val="22"/>
              </w:rPr>
              <w:t xml:space="preserve">Statyw na co najmniej pięciu kółkach wyposażonych w hamulce z półką do montażu monitora i dwoma koszykami na akcesoria </w:t>
            </w:r>
          </w:p>
          <w:p w14:paraId="4357952D" w14:textId="77777777" w:rsidR="00E002A5" w:rsidRPr="00E002A5" w:rsidRDefault="00E002A5" w:rsidP="003B2E29">
            <w:pPr>
              <w:rPr>
                <w:rFonts w:ascii="Calibri" w:hAnsi="Calibri" w:cs="Calibri"/>
                <w:sz w:val="22"/>
                <w:szCs w:val="22"/>
              </w:rPr>
            </w:pPr>
            <w:r w:rsidRPr="00E002A5">
              <w:rPr>
                <w:rFonts w:ascii="Calibri" w:hAnsi="Calibri" w:cs="Calibri"/>
                <w:sz w:val="22"/>
                <w:szCs w:val="22"/>
              </w:rPr>
              <w:t xml:space="preserve">lub </w:t>
            </w:r>
          </w:p>
          <w:p w14:paraId="1202A735" w14:textId="77777777" w:rsidR="00E002A5" w:rsidRPr="00E002A5" w:rsidRDefault="00E002A5" w:rsidP="003B2E29">
            <w:pPr>
              <w:rPr>
                <w:rFonts w:ascii="Calibri" w:hAnsi="Calibri" w:cs="Calibri"/>
                <w:sz w:val="22"/>
                <w:szCs w:val="22"/>
              </w:rPr>
            </w:pPr>
            <w:r w:rsidRPr="00E002A5">
              <w:rPr>
                <w:rFonts w:ascii="Calibri" w:hAnsi="Calibri" w:cs="Calibri"/>
                <w:sz w:val="22"/>
                <w:szCs w:val="22"/>
              </w:rPr>
              <w:t>Uchwyt na ścianę z półką do montażu monitora i koszykiem na akcesoria</w:t>
            </w:r>
          </w:p>
        </w:tc>
        <w:tc>
          <w:tcPr>
            <w:tcW w:w="1984" w:type="dxa"/>
            <w:tcBorders>
              <w:top w:val="single" w:sz="6" w:space="0" w:color="7F7F7F"/>
              <w:left w:val="single" w:sz="6" w:space="0" w:color="7F7F7F"/>
              <w:bottom w:val="single" w:sz="6" w:space="0" w:color="7F7F7F"/>
              <w:right w:val="single" w:sz="6" w:space="0" w:color="7F7F7F"/>
            </w:tcBorders>
          </w:tcPr>
          <w:p w14:paraId="0AD55727" w14:textId="3ADD3D02" w:rsidR="00E002A5" w:rsidRPr="00E002A5" w:rsidRDefault="006F3102" w:rsidP="006F3102">
            <w:pPr>
              <w:jc w:val="center"/>
              <w:rPr>
                <w:rFonts w:ascii="Calibri" w:hAnsi="Calibri" w:cs="Calibri"/>
                <w:sz w:val="22"/>
                <w:szCs w:val="22"/>
              </w:rPr>
            </w:pPr>
            <w:r>
              <w:rPr>
                <w:rFonts w:ascii="Calibri" w:hAnsi="Calibri" w:cs="Calibri"/>
                <w:sz w:val="22"/>
                <w:szCs w:val="22"/>
              </w:rPr>
              <w:t>TAK, PODAĆ</w:t>
            </w:r>
          </w:p>
        </w:tc>
        <w:tc>
          <w:tcPr>
            <w:tcW w:w="1992" w:type="dxa"/>
            <w:tcBorders>
              <w:top w:val="single" w:sz="6" w:space="0" w:color="7F7F7F"/>
              <w:left w:val="single" w:sz="6" w:space="0" w:color="7F7F7F"/>
              <w:bottom w:val="single" w:sz="6" w:space="0" w:color="7F7F7F"/>
              <w:right w:val="single" w:sz="6" w:space="0" w:color="7F7F7F"/>
            </w:tcBorders>
          </w:tcPr>
          <w:p w14:paraId="357D1DCE" w14:textId="77777777" w:rsidR="00E002A5" w:rsidRPr="00E002A5" w:rsidRDefault="00E002A5" w:rsidP="003B2E29">
            <w:pPr>
              <w:rPr>
                <w:rFonts w:ascii="Calibri" w:hAnsi="Calibri" w:cs="Calibri"/>
                <w:sz w:val="22"/>
                <w:szCs w:val="22"/>
              </w:rPr>
            </w:pPr>
          </w:p>
        </w:tc>
      </w:tr>
    </w:tbl>
    <w:p w14:paraId="42D842CE" w14:textId="77777777" w:rsidR="00BC37A3" w:rsidRPr="00E002A5" w:rsidRDefault="00BC37A3">
      <w:pPr>
        <w:rPr>
          <w:rFonts w:ascii="Calibri" w:hAnsi="Calibri" w:cs="Calibri"/>
          <w:sz w:val="22"/>
          <w:szCs w:val="22"/>
        </w:rPr>
      </w:pPr>
    </w:p>
    <w:p w14:paraId="583F17C5" w14:textId="77777777" w:rsidR="004F04C2" w:rsidRPr="00E002A5" w:rsidRDefault="004F04C2">
      <w:pPr>
        <w:rPr>
          <w:rFonts w:ascii="Calibri" w:hAnsi="Calibri" w:cs="Calibri"/>
          <w:sz w:val="22"/>
          <w:szCs w:val="22"/>
        </w:rPr>
      </w:pPr>
    </w:p>
    <w:p w14:paraId="5DDEC8E6" w14:textId="77777777" w:rsidR="004F04C2" w:rsidRPr="003452E0" w:rsidRDefault="004F04C2" w:rsidP="004F04C2">
      <w:pPr>
        <w:jc w:val="both"/>
        <w:rPr>
          <w:rFonts w:asciiTheme="minorHAnsi" w:hAnsiTheme="minorHAnsi" w:cstheme="minorHAnsi"/>
          <w:sz w:val="22"/>
          <w:szCs w:val="22"/>
        </w:rPr>
      </w:pPr>
      <w:r w:rsidRPr="003452E0">
        <w:rPr>
          <w:rFonts w:asciiTheme="minorHAnsi" w:hAnsiTheme="minorHAnsi" w:cstheme="minorHAnsi"/>
          <w:sz w:val="22"/>
          <w:szCs w:val="22"/>
        </w:rPr>
        <w:t>Załącznik wskazuje minimalne wymagania zamawiającego, które muszą zostać spełnione, natomiast wykonawca – wypełniając ten załącznik – oferuje konkretne rozwiązania, charakteryzując w ten sposób zaoferowany asortyment.</w:t>
      </w:r>
    </w:p>
    <w:p w14:paraId="46CE0695" w14:textId="77777777" w:rsidR="004F04C2" w:rsidRPr="003452E0" w:rsidRDefault="004F04C2" w:rsidP="004F04C2">
      <w:pPr>
        <w:widowControl w:val="0"/>
        <w:jc w:val="both"/>
        <w:rPr>
          <w:rFonts w:asciiTheme="minorHAnsi" w:hAnsiTheme="minorHAnsi" w:cstheme="minorHAnsi"/>
          <w:sz w:val="22"/>
          <w:szCs w:val="22"/>
        </w:rPr>
      </w:pPr>
    </w:p>
    <w:p w14:paraId="68DF529A" w14:textId="77777777" w:rsidR="004F04C2" w:rsidRPr="003452E0" w:rsidRDefault="004F04C2" w:rsidP="004F04C2">
      <w:pPr>
        <w:widowControl w:val="0"/>
        <w:jc w:val="both"/>
        <w:rPr>
          <w:rFonts w:asciiTheme="minorHAnsi" w:hAnsiTheme="minorHAnsi" w:cstheme="minorHAnsi"/>
          <w:sz w:val="22"/>
          <w:szCs w:val="22"/>
        </w:rPr>
      </w:pPr>
      <w:r w:rsidRPr="003452E0">
        <w:rPr>
          <w:rFonts w:asciiTheme="minorHAnsi" w:hAnsiTheme="minorHAnsi" w:cstheme="minorHAnsi"/>
          <w:sz w:val="22"/>
          <w:szCs w:val="22"/>
        </w:rPr>
        <w:t xml:space="preserve">Załącznik należy wypełnić w całości, bez wprowadzania zmian w jego treści – stanowi on integralną część oferty – deklarację wykonawcy co do jej treści, stąd brak tego załącznika, zawierającego treści zgodne z wzorem określonym w specyfikacji warunków zamówienia, spowoduje odrzucenie oferty. </w:t>
      </w:r>
    </w:p>
    <w:p w14:paraId="5A70BAEE" w14:textId="77777777" w:rsidR="004F04C2" w:rsidRPr="003452E0" w:rsidRDefault="004F04C2" w:rsidP="004F04C2">
      <w:pPr>
        <w:widowControl w:val="0"/>
        <w:jc w:val="both"/>
        <w:rPr>
          <w:rFonts w:asciiTheme="minorHAnsi" w:hAnsiTheme="minorHAnsi" w:cstheme="minorHAnsi"/>
          <w:sz w:val="22"/>
          <w:szCs w:val="22"/>
        </w:rPr>
      </w:pPr>
      <w:r w:rsidRPr="003452E0">
        <w:rPr>
          <w:rFonts w:asciiTheme="minorHAnsi" w:hAnsiTheme="minorHAnsi" w:cstheme="minorHAnsi"/>
          <w:sz w:val="22"/>
          <w:szCs w:val="22"/>
        </w:rPr>
        <w:t>Zamawiający dopuszcza możliwość złożenia ofert równoważnych o parametrach nie gorszych, lub lepszych niż określone przez zamawiającego, jeśli z opisu przedmiotu zamówienia mogłoby wynikać, iż przedmiot zamówienia został określony przez wskazanie znaku towarowego, patentu lub pochodzenia.</w:t>
      </w:r>
    </w:p>
    <w:p w14:paraId="31C02643" w14:textId="77777777" w:rsidR="004F04C2" w:rsidRPr="003452E0" w:rsidRDefault="004F04C2" w:rsidP="004F04C2">
      <w:pPr>
        <w:tabs>
          <w:tab w:val="left" w:pos="426"/>
        </w:tabs>
        <w:spacing w:after="120"/>
        <w:jc w:val="both"/>
        <w:rPr>
          <w:rFonts w:asciiTheme="minorHAnsi" w:hAnsiTheme="minorHAnsi" w:cstheme="minorHAnsi"/>
          <w:color w:val="000000"/>
          <w:sz w:val="22"/>
          <w:szCs w:val="22"/>
        </w:rPr>
      </w:pPr>
      <w:r w:rsidRPr="003452E0">
        <w:rPr>
          <w:rFonts w:asciiTheme="minorHAnsi" w:hAnsiTheme="minorHAnsi" w:cstheme="minorHAnsi"/>
          <w:sz w:val="22"/>
          <w:szCs w:val="22"/>
        </w:rPr>
        <w:t xml:space="preserve">Przez rozwiązania równoważne zamawiający rozumie takie, które co najmniej spełniają wymagania określone w specyfikacji warunków zamówienia oraz charakteryzują się parametrami technicznymi, </w:t>
      </w:r>
      <w:r w:rsidRPr="003452E0">
        <w:rPr>
          <w:rFonts w:asciiTheme="minorHAnsi" w:hAnsiTheme="minorHAnsi" w:cstheme="minorHAnsi"/>
          <w:sz w:val="22"/>
          <w:szCs w:val="22"/>
        </w:rPr>
        <w:lastRenderedPageBreak/>
        <w:t xml:space="preserve">jakościowymi </w:t>
      </w:r>
      <w:r>
        <w:rPr>
          <w:rFonts w:asciiTheme="minorHAnsi" w:hAnsiTheme="minorHAnsi" w:cstheme="minorHAnsi"/>
          <w:sz w:val="22"/>
          <w:szCs w:val="22"/>
        </w:rPr>
        <w:br/>
      </w:r>
      <w:r w:rsidRPr="003452E0">
        <w:rPr>
          <w:rFonts w:asciiTheme="minorHAnsi" w:hAnsiTheme="minorHAnsi" w:cstheme="minorHAnsi"/>
          <w:sz w:val="22"/>
          <w:szCs w:val="22"/>
        </w:rPr>
        <w:t>i użytkowymi nie gorszymi niż określone w opisie przedmiotu zamówienia. Wykonawca, który zaoferuje rozwiązania równoważne opisanym przez zamawiającego, jest obowiązany dołączyć do oferty zestawienie wszystkich zaoferowanych rozwiązań równoważnych oraz wykazać ich równoważność w stosunku do rozwiązań opisanych w dokumentacji przetargowej, wskazując nazwę i pozycję opisu przedmiotu zamówienia, których to dotyczy. Opis zaoferowanych rozwiązań równoważnych powinien być na tyle szczegółowy, żeby na jego podstawie zamawiający mógł ocenić ofertę i rozstrzygnąć, czy zaoferowane rozwiązanie jest równo</w:t>
      </w:r>
      <w:r w:rsidRPr="003452E0">
        <w:rPr>
          <w:rFonts w:asciiTheme="minorHAnsi" w:hAnsiTheme="minorHAnsi" w:cstheme="minorHAnsi"/>
          <w:sz w:val="22"/>
          <w:szCs w:val="22"/>
        </w:rPr>
        <w:softHyphen/>
        <w:t>ważne.</w:t>
      </w:r>
    </w:p>
    <w:p w14:paraId="33889E19" w14:textId="77777777" w:rsidR="004F04C2" w:rsidRPr="003452E0" w:rsidRDefault="004F04C2" w:rsidP="004F04C2">
      <w:pPr>
        <w:tabs>
          <w:tab w:val="left" w:pos="426"/>
        </w:tabs>
        <w:spacing w:after="120"/>
        <w:jc w:val="both"/>
        <w:rPr>
          <w:rFonts w:asciiTheme="minorHAnsi" w:hAnsiTheme="minorHAnsi" w:cstheme="minorHAnsi"/>
          <w:color w:val="000000"/>
          <w:sz w:val="22"/>
          <w:szCs w:val="22"/>
        </w:rPr>
      </w:pPr>
      <w:r w:rsidRPr="003452E0">
        <w:rPr>
          <w:rFonts w:asciiTheme="minorHAnsi" w:hAnsiTheme="minorHAnsi" w:cstheme="minorHAnsi"/>
          <w:sz w:val="22"/>
          <w:szCs w:val="22"/>
        </w:rPr>
        <w:t>W przypadku, gdy w opisie przedmiotu zamówienia znajdą się odniesienia do norm,</w:t>
      </w:r>
      <w:r w:rsidRPr="003452E0">
        <w:rPr>
          <w:rFonts w:asciiTheme="minorHAnsi" w:hAnsiTheme="minorHAnsi" w:cstheme="minorHAnsi"/>
          <w:spacing w:val="1"/>
          <w:sz w:val="22"/>
          <w:szCs w:val="22"/>
        </w:rPr>
        <w:t xml:space="preserve"> </w:t>
      </w:r>
      <w:r w:rsidRPr="003452E0">
        <w:rPr>
          <w:rFonts w:asciiTheme="minorHAnsi" w:hAnsiTheme="minorHAnsi" w:cstheme="minorHAnsi"/>
          <w:sz w:val="22"/>
          <w:szCs w:val="22"/>
        </w:rPr>
        <w:t>ocen</w:t>
      </w:r>
      <w:r w:rsidRPr="003452E0">
        <w:rPr>
          <w:rFonts w:asciiTheme="minorHAnsi" w:hAnsiTheme="minorHAnsi" w:cstheme="minorHAnsi"/>
          <w:spacing w:val="70"/>
          <w:sz w:val="22"/>
          <w:szCs w:val="22"/>
        </w:rPr>
        <w:t xml:space="preserve"> </w:t>
      </w:r>
      <w:r w:rsidRPr="003452E0">
        <w:rPr>
          <w:rFonts w:asciiTheme="minorHAnsi" w:hAnsiTheme="minorHAnsi" w:cstheme="minorHAnsi"/>
          <w:sz w:val="22"/>
          <w:szCs w:val="22"/>
        </w:rPr>
        <w:t>technicznych,</w:t>
      </w:r>
      <w:r w:rsidRPr="003452E0">
        <w:rPr>
          <w:rFonts w:asciiTheme="minorHAnsi" w:hAnsiTheme="minorHAnsi" w:cstheme="minorHAnsi"/>
          <w:spacing w:val="70"/>
          <w:sz w:val="22"/>
          <w:szCs w:val="22"/>
        </w:rPr>
        <w:t xml:space="preserve"> </w:t>
      </w:r>
      <w:r w:rsidRPr="003452E0">
        <w:rPr>
          <w:rFonts w:asciiTheme="minorHAnsi" w:hAnsiTheme="minorHAnsi" w:cstheme="minorHAnsi"/>
          <w:sz w:val="22"/>
          <w:szCs w:val="22"/>
        </w:rPr>
        <w:t>specyfikacji</w:t>
      </w:r>
      <w:r w:rsidRPr="003452E0">
        <w:rPr>
          <w:rFonts w:asciiTheme="minorHAnsi" w:hAnsiTheme="minorHAnsi" w:cstheme="minorHAnsi"/>
          <w:spacing w:val="70"/>
          <w:sz w:val="22"/>
          <w:szCs w:val="22"/>
        </w:rPr>
        <w:t xml:space="preserve"> </w:t>
      </w:r>
      <w:r w:rsidRPr="003452E0">
        <w:rPr>
          <w:rFonts w:asciiTheme="minorHAnsi" w:hAnsiTheme="minorHAnsi" w:cstheme="minorHAnsi"/>
          <w:sz w:val="22"/>
          <w:szCs w:val="22"/>
        </w:rPr>
        <w:t>technicznych</w:t>
      </w:r>
      <w:r w:rsidRPr="003452E0">
        <w:rPr>
          <w:rFonts w:asciiTheme="minorHAnsi" w:hAnsiTheme="minorHAnsi" w:cstheme="minorHAnsi"/>
          <w:spacing w:val="71"/>
          <w:sz w:val="22"/>
          <w:szCs w:val="22"/>
        </w:rPr>
        <w:t xml:space="preserve"> </w:t>
      </w:r>
      <w:r w:rsidRPr="003452E0">
        <w:rPr>
          <w:rFonts w:asciiTheme="minorHAnsi" w:hAnsiTheme="minorHAnsi" w:cstheme="minorHAnsi"/>
          <w:sz w:val="22"/>
          <w:szCs w:val="22"/>
        </w:rPr>
        <w:t>i</w:t>
      </w:r>
      <w:r w:rsidRPr="003452E0">
        <w:rPr>
          <w:rFonts w:asciiTheme="minorHAnsi" w:hAnsiTheme="minorHAnsi" w:cstheme="minorHAnsi"/>
          <w:spacing w:val="70"/>
          <w:sz w:val="22"/>
          <w:szCs w:val="22"/>
        </w:rPr>
        <w:t xml:space="preserve"> </w:t>
      </w:r>
      <w:r w:rsidRPr="003452E0">
        <w:rPr>
          <w:rFonts w:asciiTheme="minorHAnsi" w:hAnsiTheme="minorHAnsi" w:cstheme="minorHAnsi"/>
          <w:sz w:val="22"/>
          <w:szCs w:val="22"/>
        </w:rPr>
        <w:t>systemów</w:t>
      </w:r>
      <w:r w:rsidRPr="003452E0">
        <w:rPr>
          <w:rFonts w:asciiTheme="minorHAnsi" w:hAnsiTheme="minorHAnsi" w:cstheme="minorHAnsi"/>
          <w:spacing w:val="70"/>
          <w:sz w:val="22"/>
          <w:szCs w:val="22"/>
        </w:rPr>
        <w:t xml:space="preserve"> </w:t>
      </w:r>
      <w:r w:rsidRPr="003452E0">
        <w:rPr>
          <w:rFonts w:asciiTheme="minorHAnsi" w:hAnsiTheme="minorHAnsi" w:cstheme="minorHAnsi"/>
          <w:sz w:val="22"/>
          <w:szCs w:val="22"/>
        </w:rPr>
        <w:t>referencji</w:t>
      </w:r>
      <w:r w:rsidRPr="003452E0">
        <w:rPr>
          <w:rFonts w:asciiTheme="minorHAnsi" w:hAnsiTheme="minorHAnsi" w:cstheme="minorHAnsi"/>
          <w:spacing w:val="71"/>
          <w:sz w:val="22"/>
          <w:szCs w:val="22"/>
        </w:rPr>
        <w:t xml:space="preserve"> </w:t>
      </w:r>
      <w:r w:rsidRPr="003452E0">
        <w:rPr>
          <w:rFonts w:asciiTheme="minorHAnsi" w:hAnsiTheme="minorHAnsi" w:cstheme="minorHAnsi"/>
          <w:sz w:val="22"/>
          <w:szCs w:val="22"/>
        </w:rPr>
        <w:t>technicznych,</w:t>
      </w:r>
      <w:r w:rsidRPr="003452E0">
        <w:rPr>
          <w:rFonts w:asciiTheme="minorHAnsi" w:hAnsiTheme="minorHAnsi" w:cstheme="minorHAnsi"/>
          <w:spacing w:val="1"/>
          <w:sz w:val="22"/>
          <w:szCs w:val="22"/>
        </w:rPr>
        <w:t xml:space="preserve"> </w:t>
      </w:r>
      <w:r w:rsidRPr="003452E0">
        <w:rPr>
          <w:rFonts w:asciiTheme="minorHAnsi" w:hAnsiTheme="minorHAnsi" w:cstheme="minorHAnsi"/>
          <w:sz w:val="22"/>
          <w:szCs w:val="22"/>
        </w:rPr>
        <w:t>o</w:t>
      </w:r>
      <w:r w:rsidRPr="003452E0">
        <w:rPr>
          <w:rFonts w:asciiTheme="minorHAnsi" w:hAnsiTheme="minorHAnsi" w:cstheme="minorHAnsi"/>
          <w:spacing w:val="-16"/>
          <w:sz w:val="22"/>
          <w:szCs w:val="22"/>
        </w:rPr>
        <w:t xml:space="preserve"> </w:t>
      </w:r>
      <w:r w:rsidRPr="003452E0">
        <w:rPr>
          <w:rFonts w:asciiTheme="minorHAnsi" w:hAnsiTheme="minorHAnsi" w:cstheme="minorHAnsi"/>
          <w:sz w:val="22"/>
          <w:szCs w:val="22"/>
        </w:rPr>
        <w:t>których</w:t>
      </w:r>
      <w:r w:rsidRPr="003452E0">
        <w:rPr>
          <w:rFonts w:asciiTheme="minorHAnsi" w:hAnsiTheme="minorHAnsi" w:cstheme="minorHAnsi"/>
          <w:spacing w:val="-14"/>
          <w:sz w:val="22"/>
          <w:szCs w:val="22"/>
        </w:rPr>
        <w:t xml:space="preserve"> </w:t>
      </w:r>
      <w:r w:rsidRPr="003452E0">
        <w:rPr>
          <w:rFonts w:asciiTheme="minorHAnsi" w:hAnsiTheme="minorHAnsi" w:cstheme="minorHAnsi"/>
          <w:sz w:val="22"/>
          <w:szCs w:val="22"/>
        </w:rPr>
        <w:t>mowa</w:t>
      </w:r>
      <w:r w:rsidRPr="003452E0">
        <w:rPr>
          <w:rFonts w:asciiTheme="minorHAnsi" w:hAnsiTheme="minorHAnsi" w:cstheme="minorHAnsi"/>
          <w:spacing w:val="-14"/>
          <w:sz w:val="22"/>
          <w:szCs w:val="22"/>
        </w:rPr>
        <w:t xml:space="preserve"> </w:t>
      </w:r>
      <w:r w:rsidRPr="003452E0">
        <w:rPr>
          <w:rFonts w:asciiTheme="minorHAnsi" w:hAnsiTheme="minorHAnsi" w:cstheme="minorHAnsi"/>
          <w:sz w:val="22"/>
          <w:szCs w:val="22"/>
        </w:rPr>
        <w:t>w</w:t>
      </w:r>
      <w:r w:rsidRPr="003452E0">
        <w:rPr>
          <w:rFonts w:asciiTheme="minorHAnsi" w:hAnsiTheme="minorHAnsi" w:cstheme="minorHAnsi"/>
          <w:spacing w:val="-15"/>
          <w:sz w:val="22"/>
          <w:szCs w:val="22"/>
        </w:rPr>
        <w:t xml:space="preserve"> </w:t>
      </w:r>
      <w:r w:rsidRPr="003452E0">
        <w:rPr>
          <w:rFonts w:asciiTheme="minorHAnsi" w:hAnsiTheme="minorHAnsi" w:cstheme="minorHAnsi"/>
          <w:sz w:val="22"/>
          <w:szCs w:val="22"/>
        </w:rPr>
        <w:t>art.</w:t>
      </w:r>
      <w:r w:rsidRPr="003452E0">
        <w:rPr>
          <w:rFonts w:asciiTheme="minorHAnsi" w:hAnsiTheme="minorHAnsi" w:cstheme="minorHAnsi"/>
          <w:spacing w:val="-15"/>
          <w:sz w:val="22"/>
          <w:szCs w:val="22"/>
        </w:rPr>
        <w:t xml:space="preserve"> </w:t>
      </w:r>
      <w:r w:rsidRPr="003452E0">
        <w:rPr>
          <w:rFonts w:asciiTheme="minorHAnsi" w:hAnsiTheme="minorHAnsi" w:cstheme="minorHAnsi"/>
          <w:sz w:val="22"/>
          <w:szCs w:val="22"/>
        </w:rPr>
        <w:t>101</w:t>
      </w:r>
      <w:r w:rsidRPr="003452E0">
        <w:rPr>
          <w:rFonts w:asciiTheme="minorHAnsi" w:hAnsiTheme="minorHAnsi" w:cstheme="minorHAnsi"/>
          <w:spacing w:val="-14"/>
          <w:sz w:val="22"/>
          <w:szCs w:val="22"/>
        </w:rPr>
        <w:t xml:space="preserve"> </w:t>
      </w:r>
      <w:r w:rsidRPr="003452E0">
        <w:rPr>
          <w:rFonts w:asciiTheme="minorHAnsi" w:hAnsiTheme="minorHAnsi" w:cstheme="minorHAnsi"/>
          <w:sz w:val="22"/>
          <w:szCs w:val="22"/>
        </w:rPr>
        <w:t>ust.</w:t>
      </w:r>
      <w:r w:rsidRPr="003452E0">
        <w:rPr>
          <w:rFonts w:asciiTheme="minorHAnsi" w:hAnsiTheme="minorHAnsi" w:cstheme="minorHAnsi"/>
          <w:spacing w:val="-16"/>
          <w:sz w:val="22"/>
          <w:szCs w:val="22"/>
        </w:rPr>
        <w:t xml:space="preserve"> </w:t>
      </w:r>
      <w:r w:rsidRPr="003452E0">
        <w:rPr>
          <w:rFonts w:asciiTheme="minorHAnsi" w:hAnsiTheme="minorHAnsi" w:cstheme="minorHAnsi"/>
          <w:sz w:val="22"/>
          <w:szCs w:val="22"/>
        </w:rPr>
        <w:t>1</w:t>
      </w:r>
      <w:r w:rsidRPr="003452E0">
        <w:rPr>
          <w:rFonts w:asciiTheme="minorHAnsi" w:hAnsiTheme="minorHAnsi" w:cstheme="minorHAnsi"/>
          <w:spacing w:val="-14"/>
          <w:sz w:val="22"/>
          <w:szCs w:val="22"/>
        </w:rPr>
        <w:t xml:space="preserve"> </w:t>
      </w:r>
      <w:r w:rsidRPr="003452E0">
        <w:rPr>
          <w:rFonts w:asciiTheme="minorHAnsi" w:hAnsiTheme="minorHAnsi" w:cstheme="minorHAnsi"/>
          <w:sz w:val="22"/>
          <w:szCs w:val="22"/>
        </w:rPr>
        <w:t>pkt</w:t>
      </w:r>
      <w:r w:rsidRPr="003452E0">
        <w:rPr>
          <w:rFonts w:asciiTheme="minorHAnsi" w:hAnsiTheme="minorHAnsi" w:cstheme="minorHAnsi"/>
          <w:spacing w:val="-15"/>
          <w:sz w:val="22"/>
          <w:szCs w:val="22"/>
        </w:rPr>
        <w:t xml:space="preserve"> </w:t>
      </w:r>
      <w:r w:rsidRPr="003452E0">
        <w:rPr>
          <w:rFonts w:asciiTheme="minorHAnsi" w:hAnsiTheme="minorHAnsi" w:cstheme="minorHAnsi"/>
          <w:sz w:val="22"/>
          <w:szCs w:val="22"/>
        </w:rPr>
        <w:t>2)</w:t>
      </w:r>
      <w:r w:rsidRPr="003452E0">
        <w:rPr>
          <w:rFonts w:asciiTheme="minorHAnsi" w:hAnsiTheme="minorHAnsi" w:cstheme="minorHAnsi"/>
          <w:spacing w:val="-13"/>
          <w:sz w:val="22"/>
          <w:szCs w:val="22"/>
        </w:rPr>
        <w:t xml:space="preserve"> </w:t>
      </w:r>
      <w:r w:rsidRPr="003452E0">
        <w:rPr>
          <w:rFonts w:asciiTheme="minorHAnsi" w:hAnsiTheme="minorHAnsi" w:cstheme="minorHAnsi"/>
          <w:sz w:val="22"/>
          <w:szCs w:val="22"/>
        </w:rPr>
        <w:t>oraz</w:t>
      </w:r>
      <w:r w:rsidRPr="003452E0">
        <w:rPr>
          <w:rFonts w:asciiTheme="minorHAnsi" w:hAnsiTheme="minorHAnsi" w:cstheme="minorHAnsi"/>
          <w:spacing w:val="-14"/>
          <w:sz w:val="22"/>
          <w:szCs w:val="22"/>
        </w:rPr>
        <w:t xml:space="preserve"> </w:t>
      </w:r>
      <w:r w:rsidRPr="003452E0">
        <w:rPr>
          <w:rFonts w:asciiTheme="minorHAnsi" w:hAnsiTheme="minorHAnsi" w:cstheme="minorHAnsi"/>
          <w:sz w:val="22"/>
          <w:szCs w:val="22"/>
        </w:rPr>
        <w:t>ust.</w:t>
      </w:r>
      <w:r w:rsidRPr="003452E0">
        <w:rPr>
          <w:rFonts w:asciiTheme="minorHAnsi" w:hAnsiTheme="minorHAnsi" w:cstheme="minorHAnsi"/>
          <w:spacing w:val="-16"/>
          <w:sz w:val="22"/>
          <w:szCs w:val="22"/>
        </w:rPr>
        <w:t xml:space="preserve"> </w:t>
      </w:r>
      <w:r w:rsidRPr="003452E0">
        <w:rPr>
          <w:rFonts w:asciiTheme="minorHAnsi" w:hAnsiTheme="minorHAnsi" w:cstheme="minorHAnsi"/>
          <w:sz w:val="22"/>
          <w:szCs w:val="22"/>
        </w:rPr>
        <w:t>3</w:t>
      </w:r>
      <w:r w:rsidRPr="003452E0">
        <w:rPr>
          <w:rFonts w:asciiTheme="minorHAnsi" w:hAnsiTheme="minorHAnsi" w:cstheme="minorHAnsi"/>
          <w:spacing w:val="-14"/>
          <w:sz w:val="22"/>
          <w:szCs w:val="22"/>
        </w:rPr>
        <w:t xml:space="preserve"> </w:t>
      </w:r>
      <w:r w:rsidRPr="003452E0">
        <w:rPr>
          <w:rFonts w:asciiTheme="minorHAnsi" w:hAnsiTheme="minorHAnsi" w:cstheme="minorHAnsi"/>
          <w:sz w:val="22"/>
          <w:szCs w:val="22"/>
        </w:rPr>
        <w:t>ustawy</w:t>
      </w:r>
      <w:r w:rsidRPr="003452E0">
        <w:rPr>
          <w:rFonts w:asciiTheme="minorHAnsi" w:hAnsiTheme="minorHAnsi" w:cstheme="minorHAnsi"/>
          <w:spacing w:val="-15"/>
          <w:sz w:val="22"/>
          <w:szCs w:val="22"/>
        </w:rPr>
        <w:t xml:space="preserve"> </w:t>
      </w:r>
      <w:r w:rsidRPr="003452E0">
        <w:rPr>
          <w:rFonts w:asciiTheme="minorHAnsi" w:hAnsiTheme="minorHAnsi" w:cstheme="minorHAnsi"/>
          <w:sz w:val="22"/>
          <w:szCs w:val="22"/>
        </w:rPr>
        <w:t>Pzp,</w:t>
      </w:r>
      <w:r w:rsidRPr="003452E0">
        <w:rPr>
          <w:rFonts w:asciiTheme="minorHAnsi" w:hAnsiTheme="minorHAnsi" w:cstheme="minorHAnsi"/>
          <w:spacing w:val="-15"/>
          <w:sz w:val="22"/>
          <w:szCs w:val="22"/>
        </w:rPr>
        <w:t xml:space="preserve"> </w:t>
      </w:r>
      <w:r w:rsidRPr="003452E0">
        <w:rPr>
          <w:rFonts w:asciiTheme="minorHAnsi" w:hAnsiTheme="minorHAnsi" w:cstheme="minorHAnsi"/>
          <w:sz w:val="22"/>
          <w:szCs w:val="22"/>
        </w:rPr>
        <w:t>Zamawiający</w:t>
      </w:r>
      <w:r w:rsidRPr="003452E0">
        <w:rPr>
          <w:rFonts w:asciiTheme="minorHAnsi" w:hAnsiTheme="minorHAnsi" w:cstheme="minorHAnsi"/>
          <w:spacing w:val="-16"/>
          <w:sz w:val="22"/>
          <w:szCs w:val="22"/>
        </w:rPr>
        <w:t xml:space="preserve"> </w:t>
      </w:r>
      <w:r w:rsidRPr="003452E0">
        <w:rPr>
          <w:rFonts w:asciiTheme="minorHAnsi" w:hAnsiTheme="minorHAnsi" w:cstheme="minorHAnsi"/>
          <w:sz w:val="22"/>
          <w:szCs w:val="22"/>
        </w:rPr>
        <w:t>dopuszcza</w:t>
      </w:r>
      <w:r w:rsidRPr="003452E0">
        <w:rPr>
          <w:rFonts w:asciiTheme="minorHAnsi" w:hAnsiTheme="minorHAnsi" w:cstheme="minorHAnsi"/>
          <w:spacing w:val="-68"/>
          <w:sz w:val="22"/>
          <w:szCs w:val="22"/>
        </w:rPr>
        <w:t xml:space="preserve">    </w:t>
      </w:r>
      <w:r w:rsidRPr="003452E0">
        <w:rPr>
          <w:rFonts w:asciiTheme="minorHAnsi" w:hAnsiTheme="minorHAnsi" w:cstheme="minorHAnsi"/>
          <w:sz w:val="22"/>
          <w:szCs w:val="22"/>
        </w:rPr>
        <w:t xml:space="preserve"> rozwiązania</w:t>
      </w:r>
      <w:r w:rsidRPr="003452E0">
        <w:rPr>
          <w:rFonts w:asciiTheme="minorHAnsi" w:hAnsiTheme="minorHAnsi" w:cstheme="minorHAnsi"/>
          <w:spacing w:val="-2"/>
          <w:sz w:val="22"/>
          <w:szCs w:val="22"/>
        </w:rPr>
        <w:t xml:space="preserve"> </w:t>
      </w:r>
      <w:r w:rsidRPr="003452E0">
        <w:rPr>
          <w:rFonts w:asciiTheme="minorHAnsi" w:hAnsiTheme="minorHAnsi" w:cstheme="minorHAnsi"/>
          <w:sz w:val="22"/>
          <w:szCs w:val="22"/>
        </w:rPr>
        <w:t xml:space="preserve">równoważne pod względem metodologii postępowania, zakresu, funkcjonalności, możliwości zastosowania, przechowywania, działania i innych cech opisanych w normach. </w:t>
      </w:r>
    </w:p>
    <w:p w14:paraId="1B26030B" w14:textId="77777777" w:rsidR="004F04C2" w:rsidRPr="003452E0" w:rsidRDefault="004F04C2" w:rsidP="004F04C2">
      <w:pPr>
        <w:jc w:val="both"/>
        <w:rPr>
          <w:rFonts w:asciiTheme="minorHAnsi" w:hAnsiTheme="minorHAnsi" w:cstheme="minorHAnsi"/>
          <w:color w:val="333333"/>
          <w:sz w:val="22"/>
          <w:szCs w:val="22"/>
          <w:shd w:val="clear" w:color="auto" w:fill="FFFFFF"/>
        </w:rPr>
      </w:pPr>
      <w:r w:rsidRPr="003452E0">
        <w:rPr>
          <w:rFonts w:asciiTheme="minorHAnsi" w:hAnsiTheme="minorHAnsi" w:cstheme="minorHAnsi"/>
          <w:color w:val="333333"/>
          <w:sz w:val="22"/>
          <w:szCs w:val="22"/>
          <w:shd w:val="clear" w:color="auto" w:fill="FFFFFF"/>
        </w:rPr>
        <w:t>Biorąc pod uwagę powyższe zamawiający wskazuje, że we wszystkich miejscach w opisie przedmiotu zamówienia, gdzie dokonano opisu poprzez wskazanie na konkretne normy</w:t>
      </w:r>
      <w:r w:rsidRPr="003452E0">
        <w:rPr>
          <w:rStyle w:val="apple-converted-space"/>
          <w:rFonts w:asciiTheme="minorHAnsi" w:hAnsiTheme="minorHAnsi" w:cstheme="minorHAnsi"/>
          <w:color w:val="333333"/>
          <w:sz w:val="22"/>
          <w:szCs w:val="22"/>
          <w:shd w:val="clear" w:color="auto" w:fill="FFFFFF"/>
        </w:rPr>
        <w:t> </w:t>
      </w:r>
      <w:r w:rsidRPr="003452E0">
        <w:rPr>
          <w:rStyle w:val="Pogrubienie"/>
          <w:rFonts w:asciiTheme="minorHAnsi" w:eastAsiaTheme="majorEastAsia" w:hAnsiTheme="minorHAnsi" w:cstheme="minorHAnsi"/>
          <w:color w:val="333333"/>
          <w:sz w:val="22"/>
          <w:szCs w:val="22"/>
        </w:rPr>
        <w:t>dopuszcza się rozwiązania równoważne opisywanym, i jednocześnie w każdym miejscu Zamawiający wprowadza określenie "lub równoważne"</w:t>
      </w:r>
      <w:r w:rsidRPr="003452E0">
        <w:rPr>
          <w:rStyle w:val="apple-converted-space"/>
          <w:rFonts w:asciiTheme="minorHAnsi" w:hAnsiTheme="minorHAnsi" w:cstheme="minorHAnsi"/>
          <w:color w:val="333333"/>
          <w:sz w:val="22"/>
          <w:szCs w:val="22"/>
          <w:shd w:val="clear" w:color="auto" w:fill="FFFFFF"/>
        </w:rPr>
        <w:t> </w:t>
      </w:r>
      <w:r w:rsidRPr="003452E0">
        <w:rPr>
          <w:rFonts w:asciiTheme="minorHAnsi" w:hAnsiTheme="minorHAnsi" w:cstheme="minorHAnsi"/>
          <w:color w:val="333333"/>
          <w:sz w:val="22"/>
          <w:szCs w:val="22"/>
          <w:shd w:val="clear" w:color="auto" w:fill="FFFFFF"/>
        </w:rPr>
        <w:t>(</w:t>
      </w:r>
      <w:hyperlink r:id="rId7" w:anchor="prawo1" w:tooltip="Odnośnik do właściwego zapisu prawnego" w:history="1">
        <w:r w:rsidRPr="003452E0">
          <w:rPr>
            <w:rStyle w:val="Hipercze"/>
            <w:rFonts w:asciiTheme="minorHAnsi" w:hAnsiTheme="minorHAnsi" w:cstheme="minorHAnsi"/>
            <w:color w:val="551A8B"/>
            <w:sz w:val="22"/>
            <w:szCs w:val="22"/>
          </w:rPr>
          <w:t>podstawa prawna art. 42 ust. 3 dyrektywy 2014/24/UE</w:t>
        </w:r>
      </w:hyperlink>
      <w:r w:rsidRPr="003452E0">
        <w:rPr>
          <w:rFonts w:asciiTheme="minorHAnsi" w:hAnsiTheme="minorHAnsi" w:cstheme="minorHAnsi"/>
          <w:color w:val="333333"/>
          <w:sz w:val="22"/>
          <w:szCs w:val="22"/>
          <w:shd w:val="clear" w:color="auto" w:fill="FFFFFF"/>
        </w:rPr>
        <w:t>).</w:t>
      </w:r>
    </w:p>
    <w:p w14:paraId="1C4F8E4C" w14:textId="77777777" w:rsidR="004F04C2" w:rsidRPr="003452E0" w:rsidRDefault="004F04C2" w:rsidP="004F04C2">
      <w:pPr>
        <w:jc w:val="center"/>
        <w:rPr>
          <w:rFonts w:asciiTheme="minorHAnsi" w:hAnsiTheme="minorHAnsi" w:cstheme="minorHAnsi"/>
          <w:b/>
          <w:sz w:val="22"/>
          <w:szCs w:val="22"/>
          <w:u w:val="single"/>
        </w:rPr>
      </w:pPr>
    </w:p>
    <w:p w14:paraId="3312B029" w14:textId="77777777" w:rsidR="004F04C2" w:rsidRPr="003452E0" w:rsidRDefault="004F04C2" w:rsidP="004F04C2">
      <w:pPr>
        <w:rPr>
          <w:rFonts w:asciiTheme="minorHAnsi" w:hAnsiTheme="minorHAnsi" w:cstheme="minorHAnsi"/>
          <w:sz w:val="22"/>
          <w:szCs w:val="22"/>
        </w:rPr>
      </w:pPr>
    </w:p>
    <w:p w14:paraId="6EFCD15C" w14:textId="77777777" w:rsidR="004F04C2" w:rsidRPr="00280A42" w:rsidRDefault="004F04C2" w:rsidP="004F04C2">
      <w:pPr>
        <w:rPr>
          <w:rFonts w:asciiTheme="minorHAnsi" w:hAnsiTheme="minorHAnsi" w:cstheme="minorHAnsi"/>
          <w:sz w:val="20"/>
          <w:szCs w:val="20"/>
        </w:rPr>
      </w:pPr>
    </w:p>
    <w:p w14:paraId="73F8A6A9" w14:textId="77777777" w:rsidR="004F04C2" w:rsidRPr="00280A42" w:rsidRDefault="004F04C2" w:rsidP="004F04C2">
      <w:pPr>
        <w:pStyle w:val="rozdzia"/>
        <w:spacing w:after="0"/>
        <w:rPr>
          <w:rFonts w:asciiTheme="minorHAnsi" w:hAnsiTheme="minorHAnsi" w:cstheme="minorHAnsi"/>
          <w:color w:val="000000" w:themeColor="text1"/>
        </w:rPr>
      </w:pPr>
      <w:r w:rsidRPr="00280A42">
        <w:rPr>
          <w:rFonts w:asciiTheme="minorHAnsi" w:hAnsiTheme="minorHAnsi" w:cstheme="minorHAnsi"/>
          <w:color w:val="000000" w:themeColor="text1"/>
        </w:rPr>
        <w:t xml:space="preserve">Uwaga: Dokument należy wypełnić i podpisać kwalifikowalnym podpisem </w:t>
      </w:r>
    </w:p>
    <w:p w14:paraId="251EA558" w14:textId="77777777" w:rsidR="004F04C2" w:rsidRPr="00280A42" w:rsidRDefault="004F04C2" w:rsidP="004F04C2">
      <w:pPr>
        <w:pStyle w:val="Zwykytekst2"/>
        <w:rPr>
          <w:rFonts w:asciiTheme="minorHAnsi" w:hAnsiTheme="minorHAnsi" w:cstheme="minorHAnsi"/>
          <w:b/>
          <w:bCs/>
          <w:u w:val="single"/>
        </w:rPr>
      </w:pPr>
    </w:p>
    <w:p w14:paraId="23B9F5DD" w14:textId="77777777" w:rsidR="004F04C2" w:rsidRDefault="004F04C2" w:rsidP="004F04C2"/>
    <w:p w14:paraId="4D29F668" w14:textId="77777777" w:rsidR="004F04C2" w:rsidRPr="00744DE3" w:rsidRDefault="004F04C2">
      <w:pPr>
        <w:rPr>
          <w:rFonts w:asciiTheme="minorHAnsi" w:hAnsiTheme="minorHAnsi" w:cstheme="minorHAnsi"/>
          <w:sz w:val="22"/>
          <w:szCs w:val="22"/>
        </w:rPr>
      </w:pPr>
    </w:p>
    <w:sectPr w:rsidR="004F04C2" w:rsidRPr="00744DE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70994" w14:textId="77777777" w:rsidR="00230E7E" w:rsidRDefault="00230E7E" w:rsidP="004F04C2">
      <w:r>
        <w:separator/>
      </w:r>
    </w:p>
  </w:endnote>
  <w:endnote w:type="continuationSeparator" w:id="0">
    <w:p w14:paraId="709E5D60" w14:textId="77777777" w:rsidR="00230E7E" w:rsidRDefault="00230E7E" w:rsidP="004F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130E8" w14:textId="77777777" w:rsidR="00230E7E" w:rsidRDefault="00230E7E" w:rsidP="004F04C2">
      <w:r>
        <w:separator/>
      </w:r>
    </w:p>
  </w:footnote>
  <w:footnote w:type="continuationSeparator" w:id="0">
    <w:p w14:paraId="0CE4D78B" w14:textId="77777777" w:rsidR="00230E7E" w:rsidRDefault="00230E7E" w:rsidP="004F0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0A66D" w14:textId="43BD24BE" w:rsidR="004F04C2" w:rsidRDefault="004F04C2">
    <w:pPr>
      <w:pStyle w:val="Nagwek"/>
    </w:pPr>
    <w:r w:rsidRPr="00461335">
      <w:rPr>
        <w:noProof/>
        <w:lang w:eastAsia="pl-PL"/>
      </w:rPr>
      <w:drawing>
        <wp:inline distT="0" distB="0" distL="0" distR="0" wp14:anchorId="4A376A16" wp14:editId="683B998B">
          <wp:extent cx="5760720" cy="574040"/>
          <wp:effectExtent l="0" t="0" r="5080" b="0"/>
          <wp:docPr id="1" name="Obraz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40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B30D0"/>
    <w:multiLevelType w:val="hybridMultilevel"/>
    <w:tmpl w:val="5AA83D1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360109E3"/>
    <w:multiLevelType w:val="hybridMultilevel"/>
    <w:tmpl w:val="0A944A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69E6696A"/>
    <w:multiLevelType w:val="hybridMultilevel"/>
    <w:tmpl w:val="B9928778"/>
    <w:lvl w:ilvl="0" w:tplc="ABCC2CA6">
      <w:start w:val="1"/>
      <w:numFmt w:val="lowerLetter"/>
      <w:lvlText w:val="%1)"/>
      <w:lvlJc w:val="left"/>
      <w:pPr>
        <w:ind w:left="720" w:hanging="360"/>
      </w:pPr>
      <w:rPr>
        <w:rFonts w:ascii="Times New Roman" w:hAnsi="Times New Roman" w:cs="Times New Roman"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782C77F2"/>
    <w:multiLevelType w:val="hybridMultilevel"/>
    <w:tmpl w:val="7F9046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7A363B75"/>
    <w:multiLevelType w:val="hybridMultilevel"/>
    <w:tmpl w:val="5C5A5C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597869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45414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5177156">
    <w:abstractNumId w:val="3"/>
  </w:num>
  <w:num w:numId="4" w16cid:durableId="1708530610">
    <w:abstractNumId w:val="1"/>
  </w:num>
  <w:num w:numId="5" w16cid:durableId="14684682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94906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7A3"/>
    <w:rsid w:val="00221090"/>
    <w:rsid w:val="00230E7E"/>
    <w:rsid w:val="00402E2B"/>
    <w:rsid w:val="004F04C2"/>
    <w:rsid w:val="00612A64"/>
    <w:rsid w:val="006F3102"/>
    <w:rsid w:val="00744DE3"/>
    <w:rsid w:val="007E6650"/>
    <w:rsid w:val="00A17C1A"/>
    <w:rsid w:val="00A95A6A"/>
    <w:rsid w:val="00BC37A3"/>
    <w:rsid w:val="00DF0169"/>
    <w:rsid w:val="00E002A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126A0"/>
  <w15:chartTrackingRefBased/>
  <w15:docId w15:val="{BE3165A6-6718-4AA8-B72C-B081F3669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37A3"/>
    <w:pPr>
      <w:suppressAutoHyphens/>
      <w:spacing w:after="0" w:line="240" w:lineRule="auto"/>
    </w:pPr>
    <w:rPr>
      <w:rFonts w:ascii="Times New Roman" w:eastAsia="Times New Roman" w:hAnsi="Times New Roman" w:cs="Times New Roman"/>
      <w:kern w:val="0"/>
      <w:lang w:eastAsia="zh-CN"/>
      <w14:ligatures w14:val="none"/>
    </w:rPr>
  </w:style>
  <w:style w:type="paragraph" w:styleId="Nagwek1">
    <w:name w:val="heading 1"/>
    <w:basedOn w:val="Normalny"/>
    <w:next w:val="Normalny"/>
    <w:link w:val="Nagwek1Znak"/>
    <w:uiPriority w:val="9"/>
    <w:qFormat/>
    <w:rsid w:val="00BC37A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BC37A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BC37A3"/>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BC37A3"/>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BC37A3"/>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BC37A3"/>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C37A3"/>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C37A3"/>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C37A3"/>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C37A3"/>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BC37A3"/>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BC37A3"/>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BC37A3"/>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BC37A3"/>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BC37A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C37A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C37A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C37A3"/>
    <w:rPr>
      <w:rFonts w:eastAsiaTheme="majorEastAsia" w:cstheme="majorBidi"/>
      <w:color w:val="272727" w:themeColor="text1" w:themeTint="D8"/>
    </w:rPr>
  </w:style>
  <w:style w:type="paragraph" w:styleId="Tytu">
    <w:name w:val="Title"/>
    <w:basedOn w:val="Normalny"/>
    <w:next w:val="Normalny"/>
    <w:link w:val="TytuZnak"/>
    <w:uiPriority w:val="10"/>
    <w:qFormat/>
    <w:rsid w:val="00BC37A3"/>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C37A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C37A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C37A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C37A3"/>
    <w:pPr>
      <w:spacing w:before="160"/>
      <w:jc w:val="center"/>
    </w:pPr>
    <w:rPr>
      <w:i/>
      <w:iCs/>
      <w:color w:val="404040" w:themeColor="text1" w:themeTint="BF"/>
    </w:rPr>
  </w:style>
  <w:style w:type="character" w:customStyle="1" w:styleId="CytatZnak">
    <w:name w:val="Cytat Znak"/>
    <w:basedOn w:val="Domylnaczcionkaakapitu"/>
    <w:link w:val="Cytat"/>
    <w:uiPriority w:val="29"/>
    <w:rsid w:val="00BC37A3"/>
    <w:rPr>
      <w:i/>
      <w:iCs/>
      <w:color w:val="404040" w:themeColor="text1" w:themeTint="BF"/>
    </w:rPr>
  </w:style>
  <w:style w:type="paragraph" w:styleId="Akapitzlist">
    <w:name w:val="List Paragraph"/>
    <w:basedOn w:val="Normalny"/>
    <w:uiPriority w:val="34"/>
    <w:qFormat/>
    <w:rsid w:val="00BC37A3"/>
    <w:pPr>
      <w:ind w:left="720"/>
      <w:contextualSpacing/>
    </w:pPr>
  </w:style>
  <w:style w:type="character" w:styleId="Wyrnienieintensywne">
    <w:name w:val="Intense Emphasis"/>
    <w:basedOn w:val="Domylnaczcionkaakapitu"/>
    <w:uiPriority w:val="21"/>
    <w:qFormat/>
    <w:rsid w:val="00BC37A3"/>
    <w:rPr>
      <w:i/>
      <w:iCs/>
      <w:color w:val="2F5496" w:themeColor="accent1" w:themeShade="BF"/>
    </w:rPr>
  </w:style>
  <w:style w:type="paragraph" w:styleId="Cytatintensywny">
    <w:name w:val="Intense Quote"/>
    <w:basedOn w:val="Normalny"/>
    <w:next w:val="Normalny"/>
    <w:link w:val="CytatintensywnyZnak"/>
    <w:uiPriority w:val="30"/>
    <w:qFormat/>
    <w:rsid w:val="00BC37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BC37A3"/>
    <w:rPr>
      <w:i/>
      <w:iCs/>
      <w:color w:val="2F5496" w:themeColor="accent1" w:themeShade="BF"/>
    </w:rPr>
  </w:style>
  <w:style w:type="character" w:styleId="Odwoanieintensywne">
    <w:name w:val="Intense Reference"/>
    <w:basedOn w:val="Domylnaczcionkaakapitu"/>
    <w:uiPriority w:val="32"/>
    <w:qFormat/>
    <w:rsid w:val="00BC37A3"/>
    <w:rPr>
      <w:b/>
      <w:bCs/>
      <w:smallCaps/>
      <w:color w:val="2F5496" w:themeColor="accent1" w:themeShade="BF"/>
      <w:spacing w:val="5"/>
    </w:rPr>
  </w:style>
  <w:style w:type="paragraph" w:styleId="Nagwek">
    <w:name w:val="header"/>
    <w:basedOn w:val="Normalny"/>
    <w:link w:val="NagwekZnak"/>
    <w:uiPriority w:val="99"/>
    <w:unhideWhenUsed/>
    <w:rsid w:val="004F04C2"/>
    <w:pPr>
      <w:tabs>
        <w:tab w:val="center" w:pos="4536"/>
        <w:tab w:val="right" w:pos="9072"/>
      </w:tabs>
    </w:pPr>
  </w:style>
  <w:style w:type="character" w:customStyle="1" w:styleId="NagwekZnak">
    <w:name w:val="Nagłówek Znak"/>
    <w:basedOn w:val="Domylnaczcionkaakapitu"/>
    <w:link w:val="Nagwek"/>
    <w:uiPriority w:val="99"/>
    <w:rsid w:val="004F04C2"/>
    <w:rPr>
      <w:rFonts w:ascii="Times New Roman" w:eastAsia="Times New Roman" w:hAnsi="Times New Roman" w:cs="Times New Roman"/>
      <w:kern w:val="0"/>
      <w:lang w:eastAsia="zh-CN"/>
      <w14:ligatures w14:val="none"/>
    </w:rPr>
  </w:style>
  <w:style w:type="paragraph" w:styleId="Stopka">
    <w:name w:val="footer"/>
    <w:basedOn w:val="Normalny"/>
    <w:link w:val="StopkaZnak"/>
    <w:uiPriority w:val="99"/>
    <w:unhideWhenUsed/>
    <w:rsid w:val="004F04C2"/>
    <w:pPr>
      <w:tabs>
        <w:tab w:val="center" w:pos="4536"/>
        <w:tab w:val="right" w:pos="9072"/>
      </w:tabs>
    </w:pPr>
  </w:style>
  <w:style w:type="character" w:customStyle="1" w:styleId="StopkaZnak">
    <w:name w:val="Stopka Znak"/>
    <w:basedOn w:val="Domylnaczcionkaakapitu"/>
    <w:link w:val="Stopka"/>
    <w:uiPriority w:val="99"/>
    <w:rsid w:val="004F04C2"/>
    <w:rPr>
      <w:rFonts w:ascii="Times New Roman" w:eastAsia="Times New Roman" w:hAnsi="Times New Roman" w:cs="Times New Roman"/>
      <w:kern w:val="0"/>
      <w:lang w:eastAsia="zh-CN"/>
      <w14:ligatures w14:val="none"/>
    </w:rPr>
  </w:style>
  <w:style w:type="paragraph" w:customStyle="1" w:styleId="Zwykytekst2">
    <w:name w:val="Zwykły tekst2"/>
    <w:basedOn w:val="Normalny"/>
    <w:rsid w:val="004F04C2"/>
    <w:rPr>
      <w:rFonts w:ascii="Courier New" w:hAnsi="Courier New" w:cs="Courier New"/>
      <w:sz w:val="20"/>
      <w:szCs w:val="20"/>
    </w:rPr>
  </w:style>
  <w:style w:type="character" w:styleId="Pogrubienie">
    <w:name w:val="Strong"/>
    <w:basedOn w:val="Domylnaczcionkaakapitu"/>
    <w:uiPriority w:val="22"/>
    <w:qFormat/>
    <w:rsid w:val="004F04C2"/>
    <w:rPr>
      <w:b/>
      <w:bCs/>
    </w:rPr>
  </w:style>
  <w:style w:type="paragraph" w:customStyle="1" w:styleId="rozdzia">
    <w:name w:val="rozdział"/>
    <w:basedOn w:val="Normalny"/>
    <w:autoRedefine/>
    <w:rsid w:val="004F04C2"/>
    <w:pPr>
      <w:tabs>
        <w:tab w:val="left" w:pos="0"/>
      </w:tabs>
      <w:suppressAutoHyphens w:val="0"/>
      <w:spacing w:after="120"/>
    </w:pPr>
    <w:rPr>
      <w:rFonts w:ascii="Calibri" w:hAnsi="Calibri" w:cs="Calibri"/>
      <w:b/>
      <w:i/>
      <w:iCs/>
      <w:color w:val="FF0000"/>
      <w:spacing w:val="8"/>
      <w:sz w:val="20"/>
      <w:szCs w:val="20"/>
      <w:lang w:eastAsia="pl-PL"/>
    </w:rPr>
  </w:style>
  <w:style w:type="character" w:styleId="Hipercze">
    <w:name w:val="Hyperlink"/>
    <w:rsid w:val="004F04C2"/>
    <w:rPr>
      <w:color w:val="0000FF"/>
      <w:u w:val="single"/>
    </w:rPr>
  </w:style>
  <w:style w:type="character" w:customStyle="1" w:styleId="apple-converted-space">
    <w:name w:val="apple-converted-space"/>
    <w:basedOn w:val="Domylnaczcionkaakapitu"/>
    <w:rsid w:val="004F04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po.slaskie.pl/czytaj/informacja_dot_opisu_przedmiotu_zamowieni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9</Pages>
  <Words>2509</Words>
  <Characters>15059</Characters>
  <Application>Microsoft Office Word</Application>
  <DocSecurity>0</DocSecurity>
  <Lines>125</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Czmok</dc:creator>
  <cp:keywords/>
  <dc:description/>
  <cp:lastModifiedBy>Izabela Kańkowska</cp:lastModifiedBy>
  <cp:revision>6</cp:revision>
  <dcterms:created xsi:type="dcterms:W3CDTF">2026-02-16T06:37:00Z</dcterms:created>
  <dcterms:modified xsi:type="dcterms:W3CDTF">2026-03-10T20:05:00Z</dcterms:modified>
</cp:coreProperties>
</file>